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83C3" w14:textId="77777777" w:rsidR="0009268E" w:rsidRDefault="0009268E" w:rsidP="00992851">
      <w:pPr>
        <w:spacing w:after="0"/>
        <w:jc w:val="right"/>
        <w:rPr>
          <w:rFonts w:ascii="Book Antiqua" w:hAnsi="Book Antiqua"/>
        </w:rPr>
      </w:pPr>
    </w:p>
    <w:p w14:paraId="636DAE9F" w14:textId="77777777" w:rsidR="00992851" w:rsidRPr="00FD62AE" w:rsidRDefault="00992851" w:rsidP="00992851">
      <w:pPr>
        <w:spacing w:after="0"/>
        <w:jc w:val="right"/>
        <w:rPr>
          <w:rFonts w:ascii="Book Antiqua" w:hAnsi="Book Antiqua"/>
        </w:rPr>
      </w:pPr>
      <w:r w:rsidRPr="00FD62AE">
        <w:rPr>
          <w:rFonts w:ascii="Book Antiqua" w:hAnsi="Book Antiqua"/>
          <w:noProof/>
        </w:rPr>
        <w:drawing>
          <wp:anchor distT="0" distB="0" distL="114300" distR="114300" simplePos="0" relativeHeight="251658240" behindDoc="0" locked="0" layoutInCell="1" allowOverlap="1" wp14:anchorId="13C506E1" wp14:editId="08A5A4D5">
            <wp:simplePos x="0" y="0"/>
            <wp:positionH relativeFrom="column">
              <wp:posOffset>-82550</wp:posOffset>
            </wp:positionH>
            <wp:positionV relativeFrom="paragraph">
              <wp:posOffset>12700</wp:posOffset>
            </wp:positionV>
            <wp:extent cx="2316480" cy="501650"/>
            <wp:effectExtent l="19050" t="0" r="7620" b="0"/>
            <wp:wrapNone/>
            <wp:docPr id="2"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srcRect/>
                    <a:stretch>
                      <a:fillRect/>
                    </a:stretch>
                  </pic:blipFill>
                  <pic:spPr bwMode="auto">
                    <a:xfrm>
                      <a:off x="0" y="0"/>
                      <a:ext cx="2316480" cy="501650"/>
                    </a:xfrm>
                    <a:prstGeom prst="rect">
                      <a:avLst/>
                    </a:prstGeom>
                    <a:noFill/>
                    <a:ln w="9525">
                      <a:noFill/>
                      <a:miter lim="800000"/>
                      <a:headEnd/>
                      <a:tailEnd/>
                    </a:ln>
                  </pic:spPr>
                </pic:pic>
              </a:graphicData>
            </a:graphic>
          </wp:anchor>
        </w:drawing>
      </w:r>
      <w:proofErr w:type="spellStart"/>
      <w:r w:rsidRPr="00FD62AE">
        <w:rPr>
          <w:rFonts w:ascii="Book Antiqua" w:hAnsi="Book Antiqua"/>
        </w:rPr>
        <w:t>Dr.</w:t>
      </w:r>
      <w:proofErr w:type="spellEnd"/>
      <w:r w:rsidRPr="00FD62AE">
        <w:rPr>
          <w:rFonts w:ascii="Book Antiqua" w:hAnsi="Book Antiqua"/>
        </w:rPr>
        <w:t xml:space="preserve"> Edoardo Gallo</w:t>
      </w:r>
    </w:p>
    <w:p w14:paraId="01D1015A" w14:textId="77777777" w:rsidR="00992851" w:rsidRPr="00FD62AE" w:rsidRDefault="00992851" w:rsidP="00992851">
      <w:pPr>
        <w:spacing w:after="0"/>
        <w:jc w:val="right"/>
        <w:rPr>
          <w:rFonts w:ascii="Book Antiqua" w:hAnsi="Book Antiqua"/>
        </w:rPr>
      </w:pPr>
      <w:r w:rsidRPr="00FD62AE">
        <w:rPr>
          <w:rFonts w:ascii="Book Antiqua" w:hAnsi="Book Antiqua"/>
        </w:rPr>
        <w:t>University Lecturer</w:t>
      </w:r>
    </w:p>
    <w:p w14:paraId="4A2D8946" w14:textId="77777777" w:rsidR="00992851" w:rsidRPr="00FD62AE" w:rsidRDefault="00992851" w:rsidP="00992851">
      <w:pPr>
        <w:spacing w:after="0"/>
        <w:jc w:val="right"/>
        <w:rPr>
          <w:rFonts w:ascii="Book Antiqua" w:hAnsi="Book Antiqua"/>
        </w:rPr>
      </w:pPr>
      <w:r w:rsidRPr="00FD62AE">
        <w:rPr>
          <w:rFonts w:ascii="Book Antiqua" w:hAnsi="Book Antiqua"/>
        </w:rPr>
        <w:t>University of Cambridge</w:t>
      </w:r>
    </w:p>
    <w:p w14:paraId="4FF82962" w14:textId="77777777" w:rsidR="00992851" w:rsidRPr="00FD62AE" w:rsidRDefault="00992851" w:rsidP="00992851">
      <w:pPr>
        <w:spacing w:after="0"/>
        <w:jc w:val="right"/>
        <w:rPr>
          <w:rFonts w:ascii="Book Antiqua" w:hAnsi="Book Antiqua"/>
        </w:rPr>
      </w:pPr>
      <w:r w:rsidRPr="00FD62AE">
        <w:rPr>
          <w:rFonts w:ascii="Book Antiqua" w:hAnsi="Book Antiqua"/>
        </w:rPr>
        <w:t xml:space="preserve">Queens’ College </w:t>
      </w:r>
    </w:p>
    <w:p w14:paraId="7E58751B" w14:textId="77777777" w:rsidR="00992851" w:rsidRPr="00FD62AE" w:rsidRDefault="00992851" w:rsidP="00992851">
      <w:pPr>
        <w:spacing w:after="0"/>
        <w:jc w:val="right"/>
        <w:rPr>
          <w:rFonts w:ascii="Book Antiqua" w:hAnsi="Book Antiqua"/>
        </w:rPr>
      </w:pPr>
      <w:r w:rsidRPr="00FD62AE">
        <w:rPr>
          <w:rFonts w:ascii="Book Antiqua" w:hAnsi="Book Antiqua"/>
        </w:rPr>
        <w:t>Cambridge, CB3 9ET</w:t>
      </w:r>
    </w:p>
    <w:p w14:paraId="22918B37" w14:textId="77777777" w:rsidR="00AE0154" w:rsidRPr="00FD62AE" w:rsidRDefault="00AE0154" w:rsidP="00992851">
      <w:pPr>
        <w:jc w:val="right"/>
        <w:rPr>
          <w:rFonts w:ascii="Book Antiqua" w:hAnsi="Book Antiqua"/>
        </w:rPr>
      </w:pPr>
    </w:p>
    <w:p w14:paraId="449680F1" w14:textId="537BEE23" w:rsidR="00992851" w:rsidRPr="00FD62AE" w:rsidRDefault="00992851" w:rsidP="00992851">
      <w:pPr>
        <w:spacing w:after="0"/>
        <w:jc w:val="right"/>
        <w:rPr>
          <w:rFonts w:ascii="Book Antiqua" w:hAnsi="Book Antiqua"/>
        </w:rPr>
      </w:pPr>
      <w:r w:rsidRPr="00FD62AE">
        <w:rPr>
          <w:rFonts w:ascii="Book Antiqua" w:hAnsi="Book Antiqua"/>
        </w:rPr>
        <w:t xml:space="preserve">Date: </w:t>
      </w:r>
      <w:r w:rsidR="00B67261">
        <w:rPr>
          <w:rFonts w:ascii="Book Antiqua" w:hAnsi="Book Antiqua"/>
        </w:rPr>
        <w:t>17</w:t>
      </w:r>
      <w:r w:rsidR="001A36C1">
        <w:rPr>
          <w:rFonts w:ascii="Book Antiqua" w:hAnsi="Book Antiqua"/>
        </w:rPr>
        <w:t>/0</w:t>
      </w:r>
      <w:r w:rsidR="00B67261">
        <w:rPr>
          <w:rFonts w:ascii="Book Antiqua" w:hAnsi="Book Antiqua"/>
        </w:rPr>
        <w:t>3</w:t>
      </w:r>
      <w:r w:rsidRPr="00FD62AE">
        <w:rPr>
          <w:rFonts w:ascii="Book Antiqua" w:hAnsi="Book Antiqua"/>
        </w:rPr>
        <w:t>/20</w:t>
      </w:r>
      <w:r w:rsidR="00B67261">
        <w:rPr>
          <w:rFonts w:ascii="Book Antiqua" w:hAnsi="Book Antiqua"/>
        </w:rPr>
        <w:t>20</w:t>
      </w:r>
    </w:p>
    <w:p w14:paraId="5CDD6DB9" w14:textId="77777777" w:rsidR="00992851" w:rsidRPr="00FD62AE" w:rsidRDefault="00992851" w:rsidP="00992851">
      <w:pPr>
        <w:spacing w:after="0"/>
        <w:rPr>
          <w:rFonts w:ascii="Book Antiqua" w:hAnsi="Book Antiqua"/>
        </w:rPr>
      </w:pPr>
    </w:p>
    <w:p w14:paraId="35C739AF" w14:textId="77777777" w:rsidR="002A4A36" w:rsidRPr="006E2AC8" w:rsidRDefault="002A4A36" w:rsidP="002A4A36">
      <w:pPr>
        <w:spacing w:after="0"/>
        <w:rPr>
          <w:rFonts w:ascii="Book Antiqua" w:hAnsi="Book Antiqua"/>
        </w:rPr>
      </w:pPr>
      <w:r w:rsidRPr="006E2AC8">
        <w:rPr>
          <w:rFonts w:ascii="Book Antiqua" w:hAnsi="Book Antiqua"/>
        </w:rPr>
        <w:t xml:space="preserve">To </w:t>
      </w:r>
      <w:r w:rsidR="00DC6FA4">
        <w:rPr>
          <w:rFonts w:ascii="Book Antiqua" w:hAnsi="Book Antiqua"/>
        </w:rPr>
        <w:t>CERF Board Members</w:t>
      </w:r>
      <w:r w:rsidRPr="006E2AC8">
        <w:rPr>
          <w:rFonts w:ascii="Book Antiqua" w:hAnsi="Book Antiqua"/>
        </w:rPr>
        <w:t>:</w:t>
      </w:r>
    </w:p>
    <w:p w14:paraId="36FCC27F" w14:textId="77777777" w:rsidR="002A4A36" w:rsidRPr="006E2AC8" w:rsidRDefault="002A4A36" w:rsidP="002A4A36">
      <w:pPr>
        <w:spacing w:after="0"/>
        <w:rPr>
          <w:rFonts w:ascii="Book Antiqua" w:hAnsi="Book Antiqua"/>
        </w:rPr>
      </w:pPr>
    </w:p>
    <w:p w14:paraId="19BE4666" w14:textId="77777777" w:rsidR="00607C65" w:rsidRPr="001F7450" w:rsidRDefault="00607C65" w:rsidP="00660314">
      <w:pPr>
        <w:jc w:val="both"/>
        <w:rPr>
          <w:rFonts w:ascii="Book Antiqua" w:hAnsi="Book Antiqua"/>
        </w:rPr>
      </w:pPr>
      <w:r>
        <w:rPr>
          <w:rFonts w:ascii="Book Antiqua" w:hAnsi="Book Antiqua"/>
        </w:rPr>
        <w:t xml:space="preserve">This is the report on progress for </w:t>
      </w:r>
      <w:r w:rsidR="00865DEC">
        <w:rPr>
          <w:rFonts w:ascii="Book Antiqua" w:hAnsi="Book Antiqua"/>
        </w:rPr>
        <w:t xml:space="preserve">the </w:t>
      </w:r>
      <w:r w:rsidR="00BC4C44">
        <w:rPr>
          <w:rFonts w:ascii="Book Antiqua" w:hAnsi="Book Antiqua"/>
        </w:rPr>
        <w:t>project</w:t>
      </w:r>
      <w:r>
        <w:rPr>
          <w:rFonts w:ascii="Book Antiqua" w:hAnsi="Book Antiqua"/>
        </w:rPr>
        <w:t xml:space="preserve"> “</w:t>
      </w:r>
      <w:r w:rsidR="00DA006A">
        <w:rPr>
          <w:rFonts w:ascii="Book Antiqua" w:hAnsi="Book Antiqua"/>
        </w:rPr>
        <w:t>F</w:t>
      </w:r>
      <w:r w:rsidR="00BC4C44">
        <w:rPr>
          <w:rFonts w:ascii="Book Antiqua" w:hAnsi="Book Antiqua"/>
        </w:rPr>
        <w:t xml:space="preserve">inancial contagion in </w:t>
      </w:r>
      <w:r w:rsidR="00DA006A">
        <w:rPr>
          <w:rFonts w:ascii="Book Antiqua" w:hAnsi="Book Antiqua"/>
        </w:rPr>
        <w:t xml:space="preserve">dynamic </w:t>
      </w:r>
      <w:r w:rsidR="00BC4C44">
        <w:rPr>
          <w:rFonts w:ascii="Book Antiqua" w:hAnsi="Book Antiqua"/>
        </w:rPr>
        <w:t>networks</w:t>
      </w:r>
      <w:r>
        <w:rPr>
          <w:rFonts w:ascii="Book Antiqua" w:hAnsi="Book Antiqua"/>
        </w:rPr>
        <w:t>”</w:t>
      </w:r>
      <w:r w:rsidR="00865DEC">
        <w:rPr>
          <w:rFonts w:ascii="Book Antiqua" w:hAnsi="Book Antiqua"/>
        </w:rPr>
        <w:t xml:space="preserve"> which </w:t>
      </w:r>
      <w:r w:rsidR="00B10D7A">
        <w:rPr>
          <w:rFonts w:ascii="Book Antiqua" w:hAnsi="Book Antiqua"/>
        </w:rPr>
        <w:t>is funded by a CERF grant</w:t>
      </w:r>
      <w:r w:rsidR="00865DEC" w:rsidRPr="001F7450">
        <w:rPr>
          <w:rFonts w:ascii="Book Antiqua" w:hAnsi="Book Antiqua"/>
        </w:rPr>
        <w:t>.</w:t>
      </w:r>
    </w:p>
    <w:p w14:paraId="37C7CF8C" w14:textId="21DD9645" w:rsidR="00B67261" w:rsidRDefault="00B67261" w:rsidP="00B67261">
      <w:pPr>
        <w:jc w:val="both"/>
        <w:rPr>
          <w:rFonts w:ascii="Book Antiqua" w:hAnsi="Book Antiqua"/>
        </w:rPr>
      </w:pPr>
      <w:r>
        <w:rPr>
          <w:rFonts w:ascii="Book Antiqua" w:hAnsi="Book Antiqua" w:cstheme="minorHAnsi"/>
          <w:szCs w:val="24"/>
        </w:rPr>
        <w:t xml:space="preserve">As I explained in previous reports, </w:t>
      </w:r>
      <w:r>
        <w:rPr>
          <w:rFonts w:ascii="Book Antiqua" w:hAnsi="Book Antiqua"/>
        </w:rPr>
        <w:t>feedback from reviewers on the working paper</w:t>
      </w:r>
      <w:r>
        <w:rPr>
          <w:rFonts w:ascii="Book Antiqua" w:hAnsi="Book Antiqua"/>
        </w:rPr>
        <w:t xml:space="preserve"> for a previous project led to a simplification of the experimental design with the objective of constructing </w:t>
      </w:r>
      <w:r>
        <w:rPr>
          <w:rFonts w:ascii="Book Antiqua" w:hAnsi="Book Antiqua"/>
        </w:rPr>
        <w:t>a theoretical model to formulate precise hypotheses to test in the lab.</w:t>
      </w:r>
      <w:r>
        <w:rPr>
          <w:rFonts w:ascii="Book Antiqua" w:hAnsi="Book Antiqua"/>
        </w:rPr>
        <w:t xml:space="preserve"> The first phase of the lab experiment has now been completed, we presented the results at various seminars and conferences, and we are now in the process of conducting further analysis to incorporate some of the feedback we received.</w:t>
      </w:r>
    </w:p>
    <w:p w14:paraId="3C38411B" w14:textId="2EFE8068" w:rsidR="002F7A1E" w:rsidRPr="002F7A1E" w:rsidRDefault="00B67261" w:rsidP="002F7A1E">
      <w:pPr>
        <w:jc w:val="both"/>
        <w:rPr>
          <w:rFonts w:ascii="Book Antiqua" w:hAnsi="Book Antiqua" w:cstheme="minorHAnsi"/>
          <w:szCs w:val="24"/>
        </w:rPr>
      </w:pPr>
      <w:r>
        <w:rPr>
          <w:rFonts w:ascii="Book Antiqua" w:hAnsi="Book Antiqua"/>
        </w:rPr>
        <w:t xml:space="preserve">The simplification and reduction in scope of the lab experiment meant that we left out an investigation of how policy interventions may help with mitigating the effects of contagion. We have </w:t>
      </w:r>
      <w:r w:rsidRPr="002F7A1E">
        <w:rPr>
          <w:rFonts w:ascii="Book Antiqua" w:hAnsi="Book Antiqua"/>
        </w:rPr>
        <w:t xml:space="preserve">therefore designed </w:t>
      </w:r>
      <w:r w:rsidR="002F7A1E">
        <w:rPr>
          <w:rFonts w:ascii="Book Antiqua" w:hAnsi="Book Antiqua"/>
        </w:rPr>
        <w:t>a further</w:t>
      </w:r>
      <w:r w:rsidRPr="002F7A1E">
        <w:rPr>
          <w:rFonts w:ascii="Book Antiqua" w:hAnsi="Book Antiqua"/>
        </w:rPr>
        <w:t xml:space="preserve"> experiment</w:t>
      </w:r>
      <w:r w:rsidR="002F7A1E" w:rsidRPr="002F7A1E">
        <w:rPr>
          <w:rFonts w:ascii="Book Antiqua" w:hAnsi="Book Antiqua"/>
        </w:rPr>
        <w:t xml:space="preserve"> to test </w:t>
      </w:r>
      <w:r w:rsidR="002F7A1E" w:rsidRPr="002F7A1E">
        <w:rPr>
          <w:rFonts w:ascii="Book Antiqua" w:hAnsi="Book Antiqua" w:cstheme="minorHAnsi"/>
          <w:szCs w:val="24"/>
        </w:rPr>
        <w:t>how policy intervention</w:t>
      </w:r>
      <w:r w:rsidR="002F7A1E" w:rsidRPr="002F7A1E">
        <w:rPr>
          <w:rFonts w:ascii="Book Antiqua" w:hAnsi="Book Antiqua" w:cstheme="minorHAnsi"/>
          <w:szCs w:val="24"/>
        </w:rPr>
        <w:t>s</w:t>
      </w:r>
      <w:r w:rsidR="002F7A1E" w:rsidRPr="002F7A1E">
        <w:rPr>
          <w:rFonts w:ascii="Book Antiqua" w:hAnsi="Book Antiqua" w:cstheme="minorHAnsi"/>
          <w:szCs w:val="24"/>
        </w:rPr>
        <w:t xml:space="preserve"> can prevent systemic contagion to occur on hub-like and regular networks. We examine financial interventions in terms of (</w:t>
      </w:r>
      <w:proofErr w:type="spellStart"/>
      <w:r w:rsidR="002F7A1E" w:rsidRPr="002F7A1E">
        <w:rPr>
          <w:rFonts w:ascii="Book Antiqua" w:hAnsi="Book Antiqua" w:cstheme="minorHAnsi"/>
          <w:szCs w:val="24"/>
        </w:rPr>
        <w:t>i</w:t>
      </w:r>
      <w:proofErr w:type="spellEnd"/>
      <w:r w:rsidR="002F7A1E" w:rsidRPr="002F7A1E">
        <w:rPr>
          <w:rFonts w:ascii="Book Antiqua" w:hAnsi="Book Antiqua" w:cstheme="minorHAnsi"/>
          <w:szCs w:val="24"/>
        </w:rPr>
        <w:t xml:space="preserve">) subsidies and (ii) fines, as well as behavioural interventions in terms of (iii) positive and (iv) negative informational “nudges” given to participants. The objective is to understand what type of intervention is most effective to get (close) to the efficient outcome. </w:t>
      </w:r>
    </w:p>
    <w:p w14:paraId="43E91BAD" w14:textId="45743972" w:rsidR="002F7A1E" w:rsidRPr="002F7A1E" w:rsidRDefault="002F7A1E" w:rsidP="002F7A1E">
      <w:pPr>
        <w:jc w:val="both"/>
        <w:rPr>
          <w:rFonts w:ascii="Book Antiqua" w:hAnsi="Book Antiqua"/>
        </w:rPr>
      </w:pPr>
      <w:r w:rsidRPr="002F7A1E">
        <w:rPr>
          <w:rFonts w:ascii="Book Antiqua" w:hAnsi="Book Antiqua" w:cstheme="minorHAnsi"/>
          <w:szCs w:val="24"/>
        </w:rPr>
        <w:t xml:space="preserve">Given that the experiments involve approximately 700 participants, we have decided to conduct them online. Conducting an experiment of this complexity with live interactions among participants entailed more ad hoc coding than planned as </w:t>
      </w:r>
      <w:proofErr w:type="spellStart"/>
      <w:r w:rsidRPr="002F7A1E">
        <w:rPr>
          <w:rFonts w:ascii="Book Antiqua" w:hAnsi="Book Antiqua" w:cstheme="minorHAnsi"/>
          <w:szCs w:val="24"/>
        </w:rPr>
        <w:t>oTree</w:t>
      </w:r>
      <w:proofErr w:type="spellEnd"/>
      <w:r w:rsidRPr="002F7A1E">
        <w:rPr>
          <w:rFonts w:ascii="Book Antiqua" w:hAnsi="Book Antiqua" w:cstheme="minorHAnsi"/>
          <w:szCs w:val="24"/>
        </w:rPr>
        <w:t xml:space="preserve"> – the leading platform to conduct online experiments – did not have many features needed. We have now completed the coding and run pilots. The plan is to conduct the experiments in the next 2-3 months.</w:t>
      </w:r>
      <w:r>
        <w:rPr>
          <w:rFonts w:ascii="Book Antiqua" w:hAnsi="Book Antiqua" w:cstheme="minorHAnsi"/>
          <w:szCs w:val="24"/>
        </w:rPr>
        <w:t xml:space="preserve"> As I have anticipated in my July 2019 report, </w:t>
      </w:r>
      <w:r>
        <w:rPr>
          <w:rFonts w:ascii="Book Antiqua" w:hAnsi="Book Antiqua"/>
        </w:rPr>
        <w:t xml:space="preserve">it is likely I may have to ask for an extension to the original deadline of July 2020. I will, however, wait until </w:t>
      </w:r>
      <w:r>
        <w:rPr>
          <w:rFonts w:ascii="Book Antiqua" w:hAnsi="Book Antiqua"/>
        </w:rPr>
        <w:t>Easter</w:t>
      </w:r>
      <w:r>
        <w:rPr>
          <w:rFonts w:ascii="Book Antiqua" w:hAnsi="Book Antiqua"/>
        </w:rPr>
        <w:t xml:space="preserve"> Term before requesting an extension</w:t>
      </w:r>
      <w:r>
        <w:rPr>
          <w:rFonts w:ascii="Book Antiqua" w:hAnsi="Book Antiqua"/>
        </w:rPr>
        <w:t>. Despite the experiments being conducted online, it is possible current developments with the Covid-19 epidemic may also lead to delays.</w:t>
      </w:r>
    </w:p>
    <w:p w14:paraId="09036E66" w14:textId="77777777" w:rsidR="002A4A36" w:rsidRPr="006E2AC8" w:rsidRDefault="00660314" w:rsidP="002475DA">
      <w:pPr>
        <w:jc w:val="both"/>
        <w:rPr>
          <w:rFonts w:ascii="Book Antiqua" w:hAnsi="Book Antiqua"/>
        </w:rPr>
      </w:pPr>
      <w:bookmarkStart w:id="0" w:name="_GoBack"/>
      <w:bookmarkEnd w:id="0"/>
      <w:r>
        <w:rPr>
          <w:rFonts w:ascii="Book Antiqua" w:hAnsi="Book Antiqua"/>
        </w:rPr>
        <w:t>Yours ever,</w:t>
      </w:r>
    </w:p>
    <w:p w14:paraId="63AEF72D" w14:textId="77777777" w:rsidR="002A4A36" w:rsidRPr="006E2AC8" w:rsidRDefault="002A4A36" w:rsidP="002475DA">
      <w:pPr>
        <w:jc w:val="both"/>
        <w:rPr>
          <w:rFonts w:ascii="Book Antiqua" w:hAnsi="Book Antiqua"/>
        </w:rPr>
      </w:pPr>
      <w:r w:rsidRPr="006E2AC8">
        <w:rPr>
          <w:rFonts w:ascii="Book Antiqua" w:hAnsi="Book Antiqua"/>
        </w:rPr>
        <w:t>Edoardo Gallo</w:t>
      </w:r>
    </w:p>
    <w:p w14:paraId="4A4D550F" w14:textId="77777777" w:rsidR="00992851" w:rsidRDefault="00992851" w:rsidP="00C8799C"/>
    <w:sectPr w:rsidR="00992851" w:rsidSect="00607C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F087" w14:textId="77777777" w:rsidR="00847B6D" w:rsidRDefault="00847B6D" w:rsidP="00DA006A">
      <w:pPr>
        <w:spacing w:after="0" w:line="240" w:lineRule="auto"/>
      </w:pPr>
      <w:r>
        <w:separator/>
      </w:r>
    </w:p>
  </w:endnote>
  <w:endnote w:type="continuationSeparator" w:id="0">
    <w:p w14:paraId="489D2172" w14:textId="77777777" w:rsidR="00847B6D" w:rsidRDefault="00847B6D" w:rsidP="00D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3DE44" w14:textId="77777777" w:rsidR="00847B6D" w:rsidRDefault="00847B6D" w:rsidP="00DA006A">
      <w:pPr>
        <w:spacing w:after="0" w:line="240" w:lineRule="auto"/>
      </w:pPr>
      <w:r>
        <w:separator/>
      </w:r>
    </w:p>
  </w:footnote>
  <w:footnote w:type="continuationSeparator" w:id="0">
    <w:p w14:paraId="3EC7A6D6" w14:textId="77777777" w:rsidR="00847B6D" w:rsidRDefault="00847B6D" w:rsidP="00DA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51"/>
    <w:rsid w:val="00001E9B"/>
    <w:rsid w:val="00034893"/>
    <w:rsid w:val="0009268E"/>
    <w:rsid w:val="000A02C3"/>
    <w:rsid w:val="000E29E4"/>
    <w:rsid w:val="000F010F"/>
    <w:rsid w:val="00167FD2"/>
    <w:rsid w:val="0019739A"/>
    <w:rsid w:val="001A36C1"/>
    <w:rsid w:val="001F7450"/>
    <w:rsid w:val="002475DA"/>
    <w:rsid w:val="002A4A36"/>
    <w:rsid w:val="002F7A1E"/>
    <w:rsid w:val="004163F0"/>
    <w:rsid w:val="00484C2D"/>
    <w:rsid w:val="0048520A"/>
    <w:rsid w:val="00503F29"/>
    <w:rsid w:val="00522E51"/>
    <w:rsid w:val="005636FA"/>
    <w:rsid w:val="005B050A"/>
    <w:rsid w:val="005F1481"/>
    <w:rsid w:val="00607C65"/>
    <w:rsid w:val="00652C5F"/>
    <w:rsid w:val="0065636F"/>
    <w:rsid w:val="00660314"/>
    <w:rsid w:val="006B04C4"/>
    <w:rsid w:val="006D747C"/>
    <w:rsid w:val="006E2AC8"/>
    <w:rsid w:val="0078686D"/>
    <w:rsid w:val="007B3650"/>
    <w:rsid w:val="007C50AC"/>
    <w:rsid w:val="007E28FD"/>
    <w:rsid w:val="007E7074"/>
    <w:rsid w:val="007F3698"/>
    <w:rsid w:val="00811968"/>
    <w:rsid w:val="00847B6D"/>
    <w:rsid w:val="00865DEC"/>
    <w:rsid w:val="008C39CC"/>
    <w:rsid w:val="00972E18"/>
    <w:rsid w:val="0099137F"/>
    <w:rsid w:val="00992851"/>
    <w:rsid w:val="009B6E4C"/>
    <w:rsid w:val="00A4467B"/>
    <w:rsid w:val="00A61B71"/>
    <w:rsid w:val="00A71E8C"/>
    <w:rsid w:val="00AB0F58"/>
    <w:rsid w:val="00AC5A12"/>
    <w:rsid w:val="00AE0154"/>
    <w:rsid w:val="00B007A7"/>
    <w:rsid w:val="00B10D7A"/>
    <w:rsid w:val="00B2341C"/>
    <w:rsid w:val="00B66B20"/>
    <w:rsid w:val="00B67261"/>
    <w:rsid w:val="00B748CF"/>
    <w:rsid w:val="00BC4C44"/>
    <w:rsid w:val="00BE6B16"/>
    <w:rsid w:val="00BF1867"/>
    <w:rsid w:val="00C23C1A"/>
    <w:rsid w:val="00C75A54"/>
    <w:rsid w:val="00C766E8"/>
    <w:rsid w:val="00C8799C"/>
    <w:rsid w:val="00C936FC"/>
    <w:rsid w:val="00CB28E3"/>
    <w:rsid w:val="00CC3D9C"/>
    <w:rsid w:val="00CD0EA5"/>
    <w:rsid w:val="00CD5067"/>
    <w:rsid w:val="00D42367"/>
    <w:rsid w:val="00DA006A"/>
    <w:rsid w:val="00DC6FA4"/>
    <w:rsid w:val="00DF4615"/>
    <w:rsid w:val="00E12CA8"/>
    <w:rsid w:val="00E44DF9"/>
    <w:rsid w:val="00E81063"/>
    <w:rsid w:val="00E85782"/>
    <w:rsid w:val="00E96665"/>
    <w:rsid w:val="00EA0CFB"/>
    <w:rsid w:val="00EA766B"/>
    <w:rsid w:val="00EB3905"/>
    <w:rsid w:val="00EC146B"/>
    <w:rsid w:val="00EE6093"/>
    <w:rsid w:val="00F33607"/>
    <w:rsid w:val="00F82C54"/>
    <w:rsid w:val="00FC4659"/>
    <w:rsid w:val="00FC6C2E"/>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997A"/>
  <w15:docId w15:val="{5225B4F7-271D-495F-903F-9BB933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51"/>
    <w:rPr>
      <w:rFonts w:ascii="Tahoma" w:hAnsi="Tahoma" w:cs="Tahoma"/>
      <w:sz w:val="16"/>
      <w:szCs w:val="16"/>
    </w:rPr>
  </w:style>
  <w:style w:type="paragraph" w:styleId="NormalWeb">
    <w:name w:val="Normal (Web)"/>
    <w:basedOn w:val="Normal"/>
    <w:uiPriority w:val="99"/>
    <w:unhideWhenUsed/>
    <w:rsid w:val="00B6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20"/>
  </w:style>
  <w:style w:type="paragraph" w:styleId="Header">
    <w:name w:val="header"/>
    <w:basedOn w:val="Normal"/>
    <w:link w:val="HeaderChar"/>
    <w:uiPriority w:val="99"/>
    <w:unhideWhenUsed/>
    <w:rsid w:val="00DA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6A"/>
  </w:style>
  <w:style w:type="paragraph" w:styleId="Footer">
    <w:name w:val="footer"/>
    <w:basedOn w:val="Normal"/>
    <w:link w:val="FooterChar"/>
    <w:uiPriority w:val="99"/>
    <w:unhideWhenUsed/>
    <w:rsid w:val="00DA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D40F-34D3-4135-9667-C8331F87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edo</dc:creator>
  <cp:lastModifiedBy>Edoardo Gallo</cp:lastModifiedBy>
  <cp:revision>2</cp:revision>
  <cp:lastPrinted>2015-11-22T19:59:00Z</cp:lastPrinted>
  <dcterms:created xsi:type="dcterms:W3CDTF">2020-03-17T22:53:00Z</dcterms:created>
  <dcterms:modified xsi:type="dcterms:W3CDTF">2020-03-17T22:53:00Z</dcterms:modified>
</cp:coreProperties>
</file>