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D0E62" w14:textId="37AC9C72" w:rsidR="001869E4" w:rsidRDefault="00D805BA" w:rsidP="00D805BA">
      <w:pPr>
        <w:pStyle w:val="Standard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CERF Fellowship Report</w:t>
      </w:r>
    </w:p>
    <w:p w14:paraId="57B0E0CA" w14:textId="2A4D5BDC" w:rsidR="00D805BA" w:rsidRDefault="00D805BA" w:rsidP="00D805BA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Pr="00D805BA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April 2020 – 12</w:t>
      </w:r>
      <w:r w:rsidRPr="00D805B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August 2020</w:t>
      </w:r>
    </w:p>
    <w:p w14:paraId="439E486D" w14:textId="77777777" w:rsidR="00D805BA" w:rsidRDefault="00D805BA" w:rsidP="00D805BA">
      <w:pPr>
        <w:pStyle w:val="Standard"/>
        <w:jc w:val="center"/>
        <w:rPr>
          <w:b/>
          <w:sz w:val="22"/>
          <w:szCs w:val="22"/>
        </w:rPr>
      </w:pPr>
    </w:p>
    <w:p w14:paraId="74C9CDBA" w14:textId="77777777" w:rsidR="00D805BA" w:rsidRPr="00D805BA" w:rsidRDefault="00D805BA" w:rsidP="00D805BA">
      <w:pPr>
        <w:pStyle w:val="Standard"/>
        <w:jc w:val="both"/>
        <w:rPr>
          <w:sz w:val="22"/>
          <w:szCs w:val="22"/>
        </w:rPr>
      </w:pPr>
    </w:p>
    <w:p w14:paraId="1C930C5B" w14:textId="40FBE316" w:rsidR="005949C0" w:rsidRPr="00D805BA" w:rsidRDefault="00D805BA" w:rsidP="00FB3660">
      <w:pPr>
        <w:pStyle w:val="Standard"/>
        <w:jc w:val="both"/>
        <w:rPr>
          <w:b/>
          <w:sz w:val="22"/>
          <w:szCs w:val="22"/>
        </w:rPr>
      </w:pPr>
      <w:r w:rsidRPr="00D805BA">
        <w:rPr>
          <w:b/>
          <w:sz w:val="22"/>
          <w:szCs w:val="22"/>
        </w:rPr>
        <w:t>Overview</w:t>
      </w:r>
    </w:p>
    <w:p w14:paraId="2832D401" w14:textId="77777777" w:rsidR="00D805BA" w:rsidRDefault="00D805BA" w:rsidP="00FB3660">
      <w:pPr>
        <w:pStyle w:val="Standard"/>
        <w:jc w:val="both"/>
        <w:rPr>
          <w:sz w:val="22"/>
          <w:szCs w:val="22"/>
        </w:rPr>
      </w:pPr>
    </w:p>
    <w:p w14:paraId="0F4835F7" w14:textId="3465240A" w:rsidR="00382892" w:rsidRDefault="00074167" w:rsidP="00FB366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My research over the last four months since becoming a CERF fellow has continued to centre aroun</w:t>
      </w:r>
      <w:r w:rsidR="00FB3660">
        <w:rPr>
          <w:sz w:val="22"/>
          <w:szCs w:val="22"/>
        </w:rPr>
        <w:t xml:space="preserve">d the use of dual-class stock by listed companies.  </w:t>
      </w:r>
      <w:r w:rsidR="00526C78">
        <w:rPr>
          <w:sz w:val="22"/>
          <w:szCs w:val="22"/>
        </w:rPr>
        <w:t xml:space="preserve">It forms </w:t>
      </w:r>
      <w:r w:rsidR="00837E17">
        <w:rPr>
          <w:sz w:val="22"/>
          <w:szCs w:val="22"/>
        </w:rPr>
        <w:t xml:space="preserve">part of my broader </w:t>
      </w:r>
      <w:r w:rsidR="00C44AE2">
        <w:rPr>
          <w:sz w:val="22"/>
          <w:szCs w:val="22"/>
        </w:rPr>
        <w:t>research into</w:t>
      </w:r>
      <w:r w:rsidR="00837E17">
        <w:rPr>
          <w:sz w:val="22"/>
          <w:szCs w:val="22"/>
        </w:rPr>
        <w:t xml:space="preserve"> </w:t>
      </w:r>
      <w:r w:rsidR="00DD1AD7">
        <w:rPr>
          <w:sz w:val="22"/>
          <w:szCs w:val="22"/>
        </w:rPr>
        <w:t xml:space="preserve">boosting the growth of the British tech-industry.  </w:t>
      </w:r>
      <w:proofErr w:type="gramStart"/>
      <w:r w:rsidR="00FB3660">
        <w:rPr>
          <w:sz w:val="22"/>
          <w:szCs w:val="22"/>
        </w:rPr>
        <w:t>In particular, my</w:t>
      </w:r>
      <w:proofErr w:type="gramEnd"/>
      <w:r w:rsidR="00FB3660">
        <w:rPr>
          <w:sz w:val="22"/>
          <w:szCs w:val="22"/>
        </w:rPr>
        <w:t xml:space="preserve"> </w:t>
      </w:r>
      <w:r w:rsidR="00C44AE2">
        <w:rPr>
          <w:sz w:val="22"/>
          <w:szCs w:val="22"/>
        </w:rPr>
        <w:t>work</w:t>
      </w:r>
      <w:r w:rsidR="00FB3660">
        <w:rPr>
          <w:sz w:val="22"/>
          <w:szCs w:val="22"/>
        </w:rPr>
        <w:t xml:space="preserve"> </w:t>
      </w:r>
      <w:r w:rsidR="00DD1AD7">
        <w:rPr>
          <w:sz w:val="22"/>
          <w:szCs w:val="22"/>
        </w:rPr>
        <w:t>has focused</w:t>
      </w:r>
      <w:r w:rsidR="00FB3660">
        <w:rPr>
          <w:sz w:val="22"/>
          <w:szCs w:val="22"/>
        </w:rPr>
        <w:t xml:space="preserve"> on the propensity for dual-class stock to encourage further listings in the UK.  Dual-class stock is a capital structure that enables founders to retain control through holding shares with disproportionately high voting rights, and issuing shares with lower voting rights, but equal cash-flow rights</w:t>
      </w:r>
      <w:r w:rsidR="00FE04F9">
        <w:rPr>
          <w:sz w:val="22"/>
          <w:szCs w:val="22"/>
        </w:rPr>
        <w:t>,</w:t>
      </w:r>
      <w:r w:rsidR="00FB3660">
        <w:rPr>
          <w:sz w:val="22"/>
          <w:szCs w:val="22"/>
        </w:rPr>
        <w:t xml:space="preserve"> to the public.  Thereby, dual-class stock can allow a founder to divest of its investment in a company </w:t>
      </w:r>
      <w:r w:rsidR="007C538C">
        <w:rPr>
          <w:sz w:val="22"/>
          <w:szCs w:val="22"/>
        </w:rPr>
        <w:t xml:space="preserve">that </w:t>
      </w:r>
      <w:r w:rsidR="00FB3660">
        <w:rPr>
          <w:sz w:val="22"/>
          <w:szCs w:val="22"/>
        </w:rPr>
        <w:t>he or she controls</w:t>
      </w:r>
      <w:r w:rsidR="007C538C">
        <w:rPr>
          <w:sz w:val="22"/>
          <w:szCs w:val="22"/>
        </w:rPr>
        <w:t>, and raise further equity fundin</w:t>
      </w:r>
      <w:r w:rsidR="00FE04F9">
        <w:rPr>
          <w:sz w:val="22"/>
          <w:szCs w:val="22"/>
        </w:rPr>
        <w:t>g on the public markets, while maintai</w:t>
      </w:r>
      <w:r w:rsidR="007C538C">
        <w:rPr>
          <w:sz w:val="22"/>
          <w:szCs w:val="22"/>
        </w:rPr>
        <w:t>ning control.</w:t>
      </w:r>
    </w:p>
    <w:p w14:paraId="43BAAF23" w14:textId="77777777" w:rsidR="007C538C" w:rsidRDefault="007C538C" w:rsidP="00FB3660">
      <w:pPr>
        <w:pStyle w:val="Standard"/>
        <w:jc w:val="both"/>
        <w:rPr>
          <w:sz w:val="22"/>
          <w:szCs w:val="22"/>
        </w:rPr>
      </w:pPr>
    </w:p>
    <w:p w14:paraId="2FEED093" w14:textId="228B1116" w:rsidR="007C538C" w:rsidRDefault="007C538C" w:rsidP="00FB366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Two specific themes have been investigated</w:t>
      </w:r>
      <w:r w:rsidR="001E064C">
        <w:rPr>
          <w:sz w:val="22"/>
          <w:szCs w:val="22"/>
        </w:rPr>
        <w:t xml:space="preserve"> so far</w:t>
      </w:r>
      <w:r>
        <w:rPr>
          <w:sz w:val="22"/>
          <w:szCs w:val="22"/>
        </w:rPr>
        <w:t xml:space="preserve">, as described in further detail below.  The first relates to the UK’s tech-industry and </w:t>
      </w:r>
      <w:r w:rsidR="001E064C">
        <w:rPr>
          <w:sz w:val="22"/>
          <w:szCs w:val="22"/>
        </w:rPr>
        <w:t>evaluates the merits of</w:t>
      </w:r>
      <w:r>
        <w:rPr>
          <w:sz w:val="22"/>
          <w:szCs w:val="22"/>
        </w:rPr>
        <w:t xml:space="preserve"> relaxing the existing prohibition of dual-class stock from the premium-tier of the London Stock Exchange.  The research </w:t>
      </w:r>
      <w:r w:rsidR="00220325">
        <w:rPr>
          <w:sz w:val="22"/>
          <w:szCs w:val="22"/>
        </w:rPr>
        <w:t>assesses the benefits and costs to public shareholders of dual-class firms within the UK’s regulatory and market milieu.  The second theme reviews the empirical history of dual-class firms in the US, where they have been permitted on the NYSE since the early 1990s</w:t>
      </w:r>
      <w:r w:rsidR="00226219">
        <w:rPr>
          <w:sz w:val="22"/>
          <w:szCs w:val="22"/>
        </w:rPr>
        <w:t xml:space="preserve"> (and on NASDAQ even longer)</w:t>
      </w:r>
      <w:r w:rsidR="00220325">
        <w:rPr>
          <w:sz w:val="22"/>
          <w:szCs w:val="22"/>
        </w:rPr>
        <w:t xml:space="preserve">, and where, in modern times, tech-companies have been adopting the structure in their droves.  By assessing the existing empirical evidence in the US, a jurisdiction that resembles the UK’s equity market in many respects, lessons can be learnt as to how dual-class firms may perform in the UK, if they became more prevalent </w:t>
      </w:r>
      <w:proofErr w:type="gramStart"/>
      <w:r w:rsidR="00220325">
        <w:rPr>
          <w:sz w:val="22"/>
          <w:szCs w:val="22"/>
        </w:rPr>
        <w:t>subsequent to</w:t>
      </w:r>
      <w:proofErr w:type="gramEnd"/>
      <w:r w:rsidR="00220325">
        <w:rPr>
          <w:sz w:val="22"/>
          <w:szCs w:val="22"/>
        </w:rPr>
        <w:t xml:space="preserve"> a relaxation of the premium-tier prohibition.</w:t>
      </w:r>
      <w:r w:rsidR="00B027DC">
        <w:rPr>
          <w:sz w:val="22"/>
          <w:szCs w:val="22"/>
        </w:rPr>
        <w:t xml:space="preserve">  Progress on the two work-streams is outlined below.</w:t>
      </w:r>
    </w:p>
    <w:p w14:paraId="0CEE9F6C" w14:textId="77777777" w:rsidR="00220325" w:rsidRDefault="00220325" w:rsidP="00FB3660">
      <w:pPr>
        <w:pStyle w:val="Standard"/>
        <w:jc w:val="both"/>
        <w:rPr>
          <w:sz w:val="22"/>
          <w:szCs w:val="22"/>
        </w:rPr>
      </w:pPr>
    </w:p>
    <w:p w14:paraId="3966AC4E" w14:textId="69AA5CF3" w:rsidR="00220325" w:rsidRDefault="00B027DC" w:rsidP="00FB3660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Finding the British Google: Relaxing the P</w:t>
      </w:r>
      <w:r w:rsidR="0012625D">
        <w:rPr>
          <w:b/>
          <w:sz w:val="22"/>
          <w:szCs w:val="22"/>
        </w:rPr>
        <w:t xml:space="preserve">rohibition of Dual-Class Stock </w:t>
      </w:r>
      <w:proofErr w:type="gramStart"/>
      <w:r w:rsidR="0012625D">
        <w:rPr>
          <w:b/>
          <w:sz w:val="22"/>
          <w:szCs w:val="22"/>
        </w:rPr>
        <w:t>Fro</w:t>
      </w:r>
      <w:r>
        <w:rPr>
          <w:b/>
          <w:sz w:val="22"/>
          <w:szCs w:val="22"/>
        </w:rPr>
        <w:t>m</w:t>
      </w:r>
      <w:proofErr w:type="gramEnd"/>
      <w:r>
        <w:rPr>
          <w:b/>
          <w:sz w:val="22"/>
          <w:szCs w:val="22"/>
        </w:rPr>
        <w:t xml:space="preserve"> the Premium-Tier of the London Stock Exchange</w:t>
      </w:r>
    </w:p>
    <w:p w14:paraId="1A9B4213" w14:textId="77777777" w:rsidR="00B027DC" w:rsidRDefault="00B027DC" w:rsidP="00FB3660">
      <w:pPr>
        <w:pStyle w:val="Standard"/>
        <w:jc w:val="both"/>
        <w:rPr>
          <w:b/>
          <w:sz w:val="22"/>
          <w:szCs w:val="22"/>
        </w:rPr>
      </w:pPr>
    </w:p>
    <w:p w14:paraId="03CA7F24" w14:textId="704E39D3" w:rsidR="00B027DC" w:rsidRDefault="00B027DC" w:rsidP="00FB3660">
      <w:pPr>
        <w:pStyle w:val="Standard"/>
        <w:jc w:val="both"/>
        <w:rPr>
          <w:i/>
          <w:sz w:val="22"/>
          <w:szCs w:val="22"/>
        </w:rPr>
      </w:pPr>
      <w:r w:rsidRPr="00B027DC">
        <w:rPr>
          <w:i/>
          <w:sz w:val="22"/>
          <w:szCs w:val="22"/>
        </w:rPr>
        <w:t xml:space="preserve">Abstract: </w:t>
      </w:r>
      <w:r>
        <w:rPr>
          <w:i/>
          <w:sz w:val="22"/>
          <w:szCs w:val="22"/>
        </w:rPr>
        <w:t xml:space="preserve"> </w:t>
      </w:r>
      <w:r w:rsidRPr="00B027DC">
        <w:rPr>
          <w:i/>
          <w:sz w:val="22"/>
          <w:szCs w:val="22"/>
        </w:rPr>
        <w:t xml:space="preserve">There is a dearth of British tech-companies listing on the London Stock Exchange (LSE), and the LSE lacks a large, innovative tech-company such as Google.  The UK Government, concerned as to the loss of UK tech-companies to foreign </w:t>
      </w:r>
      <w:proofErr w:type="spellStart"/>
      <w:r w:rsidRPr="00B027DC">
        <w:rPr>
          <w:i/>
          <w:sz w:val="22"/>
          <w:szCs w:val="22"/>
        </w:rPr>
        <w:t>acquirors</w:t>
      </w:r>
      <w:proofErr w:type="spellEnd"/>
      <w:r w:rsidRPr="00B027DC">
        <w:rPr>
          <w:i/>
          <w:sz w:val="22"/>
          <w:szCs w:val="22"/>
        </w:rPr>
        <w:t>, views the encouragement of UK tech-firm listings as a policy priority.  Dual-class stock, currently prohibited from the LSE Main Market’s premium-tier, allows founders to list their firms, and retain majority-control, while holding significantly less of the cash-flow rights in the company.  This article will broach the potential for dual-class stock to attract UK tech-company listings, and explore the benefits that dual-class stock can engender for UK tech-companies and their public shareholders.  The risks of dual-class structures will also be discussed, but it will be shown that in a UK regulatory context, in relation to high-growth tech-companies, the risks may not be as severe as presumed, and easily moderated through judicious controls.</w:t>
      </w:r>
    </w:p>
    <w:p w14:paraId="6B8031C5" w14:textId="77777777" w:rsidR="00B027DC" w:rsidRDefault="00B027DC" w:rsidP="00FB3660">
      <w:pPr>
        <w:pStyle w:val="Standard"/>
        <w:jc w:val="both"/>
        <w:rPr>
          <w:i/>
          <w:sz w:val="22"/>
          <w:szCs w:val="22"/>
        </w:rPr>
      </w:pPr>
    </w:p>
    <w:p w14:paraId="300255EB" w14:textId="04B823CB" w:rsidR="00B027DC" w:rsidRDefault="00B027DC" w:rsidP="00FB366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Progress:  I have published my research in the Cambridge Law Journal (B. Reddy, “</w:t>
      </w:r>
      <w:r w:rsidRPr="00B027DC">
        <w:rPr>
          <w:sz w:val="22"/>
          <w:szCs w:val="22"/>
        </w:rPr>
        <w:t>Finding the British Google: Relaxing the Prohibition of Dual-Class Stock form the Premium-Tier of the London Stock Exchange</w:t>
      </w:r>
      <w:r>
        <w:rPr>
          <w:sz w:val="22"/>
          <w:szCs w:val="22"/>
        </w:rPr>
        <w:t xml:space="preserve">” (2020) 79 </w:t>
      </w:r>
      <w:proofErr w:type="spellStart"/>
      <w:r>
        <w:rPr>
          <w:sz w:val="22"/>
          <w:szCs w:val="22"/>
        </w:rPr>
        <w:t>CLJ</w:t>
      </w:r>
      <w:proofErr w:type="spellEnd"/>
      <w:r>
        <w:rPr>
          <w:sz w:val="22"/>
          <w:szCs w:val="22"/>
        </w:rPr>
        <w:t xml:space="preserve"> 315).  &lt;</w:t>
      </w:r>
      <w:hyperlink r:id="rId8" w:history="1">
        <w:r w:rsidR="00B14438" w:rsidRPr="00B14438">
          <w:rPr>
            <w:rStyle w:val="Hyperlink"/>
            <w:sz w:val="22"/>
            <w:szCs w:val="22"/>
          </w:rPr>
          <w:t>https://www.cambridge.org/core/journals/cambridge-law-journal/article/finding-the-british-google-relaxing-the-prohibition-of-dualclass-stock-from-the-premiumtier-of-the-london-stock-exchange/3D2E2F2CCFBF653D3151F7B2AC6E681F</w:t>
        </w:r>
      </w:hyperlink>
      <w:r w:rsidR="00B14438">
        <w:rPr>
          <w:sz w:val="22"/>
          <w:szCs w:val="22"/>
        </w:rPr>
        <w:t>&gt;</w:t>
      </w:r>
    </w:p>
    <w:p w14:paraId="2741E236" w14:textId="77777777" w:rsidR="00B14438" w:rsidRDefault="00B14438" w:rsidP="00FB3660">
      <w:pPr>
        <w:pStyle w:val="Standard"/>
        <w:jc w:val="both"/>
        <w:rPr>
          <w:sz w:val="22"/>
          <w:szCs w:val="22"/>
        </w:rPr>
      </w:pPr>
    </w:p>
    <w:p w14:paraId="259005B0" w14:textId="19F772CC" w:rsidR="00B14438" w:rsidRDefault="001D3C96" w:rsidP="00FB366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was due to present my research at the Max Planck Institute </w:t>
      </w:r>
      <w:r w:rsidRPr="001D3C96">
        <w:rPr>
          <w:sz w:val="22"/>
          <w:szCs w:val="22"/>
        </w:rPr>
        <w:t>for Comparative and International Private Law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PostDoc</w:t>
      </w:r>
      <w:proofErr w:type="spellEnd"/>
      <w:r>
        <w:rPr>
          <w:sz w:val="22"/>
          <w:szCs w:val="22"/>
        </w:rPr>
        <w:t xml:space="preserve"> Conference in Hamburg, but it was postponed owing to the coronavirus situation.  It has been rescheduled for April 2021.</w:t>
      </w:r>
    </w:p>
    <w:p w14:paraId="35625F86" w14:textId="77777777" w:rsidR="001D3C96" w:rsidRDefault="001D3C96" w:rsidP="00FB3660">
      <w:pPr>
        <w:pStyle w:val="Standard"/>
        <w:jc w:val="both"/>
        <w:rPr>
          <w:sz w:val="22"/>
          <w:szCs w:val="22"/>
        </w:rPr>
      </w:pPr>
    </w:p>
    <w:p w14:paraId="27D6B9B0" w14:textId="77777777" w:rsidR="00FE04F9" w:rsidRDefault="00FE04F9" w:rsidP="00FB3660">
      <w:pPr>
        <w:pStyle w:val="Standard"/>
        <w:jc w:val="both"/>
        <w:rPr>
          <w:b/>
          <w:sz w:val="22"/>
          <w:szCs w:val="22"/>
        </w:rPr>
      </w:pPr>
    </w:p>
    <w:p w14:paraId="739E6555" w14:textId="77777777" w:rsidR="00FE04F9" w:rsidRDefault="00FE04F9" w:rsidP="00FB3660">
      <w:pPr>
        <w:pStyle w:val="Standard"/>
        <w:jc w:val="both"/>
        <w:rPr>
          <w:b/>
          <w:sz w:val="22"/>
          <w:szCs w:val="22"/>
        </w:rPr>
      </w:pPr>
    </w:p>
    <w:p w14:paraId="1EA26A43" w14:textId="77777777" w:rsidR="00FE04F9" w:rsidRDefault="00FE04F9" w:rsidP="00FB3660">
      <w:pPr>
        <w:pStyle w:val="Standard"/>
        <w:jc w:val="both"/>
        <w:rPr>
          <w:b/>
          <w:sz w:val="22"/>
          <w:szCs w:val="22"/>
        </w:rPr>
      </w:pPr>
    </w:p>
    <w:p w14:paraId="57D353E5" w14:textId="77777777" w:rsidR="00FE04F9" w:rsidRDefault="00FE04F9" w:rsidP="00FB3660">
      <w:pPr>
        <w:pStyle w:val="Standard"/>
        <w:jc w:val="both"/>
        <w:rPr>
          <w:b/>
          <w:sz w:val="22"/>
          <w:szCs w:val="22"/>
        </w:rPr>
      </w:pPr>
    </w:p>
    <w:p w14:paraId="44FBAACA" w14:textId="35D42434" w:rsidR="001D3C96" w:rsidRDefault="001D3C96" w:rsidP="00FB3660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More Than Meets the Eye: Reassessing the Empirical Evidence on US Dual-Class Stock</w:t>
      </w:r>
    </w:p>
    <w:p w14:paraId="2BAD63A3" w14:textId="77777777" w:rsidR="001D3C96" w:rsidRDefault="001D3C96" w:rsidP="00FB3660">
      <w:pPr>
        <w:pStyle w:val="Standard"/>
        <w:jc w:val="both"/>
        <w:rPr>
          <w:b/>
          <w:sz w:val="22"/>
          <w:szCs w:val="22"/>
        </w:rPr>
      </w:pPr>
    </w:p>
    <w:p w14:paraId="267DBD61" w14:textId="2F728632" w:rsidR="001D3C96" w:rsidRDefault="001D3C96" w:rsidP="00FB3660">
      <w:pPr>
        <w:pStyle w:val="Standard"/>
        <w:jc w:val="both"/>
        <w:rPr>
          <w:i/>
          <w:sz w:val="22"/>
          <w:szCs w:val="22"/>
        </w:rPr>
      </w:pPr>
      <w:r w:rsidRPr="001D3C96">
        <w:rPr>
          <w:i/>
          <w:sz w:val="22"/>
          <w:szCs w:val="22"/>
        </w:rPr>
        <w:t>Abstract:  Some of the largest and most successful publicly traded companies, such as Alphabet and Facebook, have implemented a capital structure known as dual-class stock.  Dual-class stock enables a company’s controller to retain voting control of a corporation while holding a disproportionately lower level of the corporation’s cash-flow rights.  Dual-class stock has led a tortured life in the US, and is perhaps the most controversial area of corporate governance today.  Between institutional investor derision and the exclusion or restriction of dual-class stock from certain indices, one may assume that dual-class structure must be harmful to outside stockholders.  However, in this article, the existing empirical evidence on US dual-class stock will be reassessed by contrasting studies that use different measures of performance.  It will be shown that although dual-class firms are generally valued less than similar one-share, one-vote firms, they perform as well as, and, in many cases, outperform, such firms from the perspective of operating performance and stock returns.  When it comes to dual-class stock, more than meets the eye, and a presumption that dual-class stock is harmful for outside stockholders should not guide policy formulation.</w:t>
      </w:r>
    </w:p>
    <w:p w14:paraId="5793037E" w14:textId="77777777" w:rsidR="001D3C96" w:rsidRDefault="001D3C96" w:rsidP="00FB3660">
      <w:pPr>
        <w:pStyle w:val="Standard"/>
        <w:jc w:val="both"/>
        <w:rPr>
          <w:i/>
          <w:sz w:val="22"/>
          <w:szCs w:val="22"/>
        </w:rPr>
      </w:pPr>
    </w:p>
    <w:p w14:paraId="3DF9DA5E" w14:textId="5C6C34A9" w:rsidR="001D3C96" w:rsidRDefault="001D3C96" w:rsidP="00FB366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Progress: I have completed a working draft of this paper, available at: &lt;</w:t>
      </w:r>
      <w:hyperlink r:id="rId9" w:history="1">
        <w:r w:rsidR="00FE04F9" w:rsidRPr="00FE04F9">
          <w:rPr>
            <w:rStyle w:val="Hyperlink"/>
            <w:sz w:val="22"/>
            <w:szCs w:val="22"/>
          </w:rPr>
          <w:t>https://papers.ssrn.com/sol3/papers.cfm?abstract_id=3554428</w:t>
        </w:r>
      </w:hyperlink>
      <w:r w:rsidR="00FE04F9">
        <w:rPr>
          <w:sz w:val="22"/>
          <w:szCs w:val="22"/>
        </w:rPr>
        <w:t>&gt;</w:t>
      </w:r>
    </w:p>
    <w:p w14:paraId="3E2D1C8D" w14:textId="77777777" w:rsidR="00FE04F9" w:rsidRDefault="00FE04F9" w:rsidP="00FB3660">
      <w:pPr>
        <w:pStyle w:val="Standard"/>
        <w:jc w:val="both"/>
        <w:rPr>
          <w:sz w:val="22"/>
          <w:szCs w:val="22"/>
        </w:rPr>
      </w:pPr>
    </w:p>
    <w:p w14:paraId="63AD1467" w14:textId="211209AA" w:rsidR="00FE04F9" w:rsidRDefault="00FE04F9" w:rsidP="00FB366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 am due to present this paper at the CERF in the City Conference in November 2020.</w:t>
      </w:r>
    </w:p>
    <w:p w14:paraId="01F4A2B1" w14:textId="77777777" w:rsidR="00FE04F9" w:rsidRDefault="00FE04F9" w:rsidP="00FB3660">
      <w:pPr>
        <w:pStyle w:val="Standard"/>
        <w:jc w:val="both"/>
        <w:rPr>
          <w:sz w:val="22"/>
          <w:szCs w:val="22"/>
        </w:rPr>
      </w:pPr>
    </w:p>
    <w:p w14:paraId="0234436A" w14:textId="77777777" w:rsidR="00FE04F9" w:rsidRDefault="00FE04F9" w:rsidP="00FB3660">
      <w:pPr>
        <w:pStyle w:val="Standard"/>
        <w:jc w:val="both"/>
        <w:rPr>
          <w:b/>
          <w:sz w:val="22"/>
          <w:szCs w:val="22"/>
        </w:rPr>
      </w:pPr>
    </w:p>
    <w:p w14:paraId="4C097C6D" w14:textId="22F73EE3" w:rsidR="00FE04F9" w:rsidRPr="00FE04F9" w:rsidRDefault="00FE04F9" w:rsidP="00FE04F9">
      <w:pPr>
        <w:pStyle w:val="Standard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Bobby V. Reddy, August 2020</w:t>
      </w:r>
    </w:p>
    <w:p w14:paraId="5D3517C6" w14:textId="77777777" w:rsidR="008C0462" w:rsidRDefault="008C0462" w:rsidP="008C0462">
      <w:pPr>
        <w:pStyle w:val="Standard"/>
        <w:jc w:val="center"/>
        <w:rPr>
          <w:b/>
          <w:sz w:val="22"/>
          <w:szCs w:val="22"/>
        </w:rPr>
      </w:pPr>
    </w:p>
    <w:p w14:paraId="2A6AAA8E" w14:textId="77777777" w:rsidR="007B3BC6" w:rsidRDefault="007B3BC6" w:rsidP="004854BE">
      <w:pPr>
        <w:pStyle w:val="Standard"/>
        <w:rPr>
          <w:sz w:val="22"/>
          <w:szCs w:val="22"/>
        </w:rPr>
      </w:pPr>
    </w:p>
    <w:p w14:paraId="591DD4BD" w14:textId="77777777" w:rsidR="007B3BC6" w:rsidRPr="007B3BC6" w:rsidRDefault="007B3BC6" w:rsidP="004854BE">
      <w:pPr>
        <w:pStyle w:val="Standard"/>
        <w:rPr>
          <w:sz w:val="22"/>
          <w:szCs w:val="22"/>
        </w:rPr>
      </w:pPr>
    </w:p>
    <w:sectPr w:rsidR="007B3BC6" w:rsidRPr="007B3BC6" w:rsidSect="00391DFA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40" w:right="1440" w:bottom="1584" w:left="1440" w:header="576" w:footer="11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6402F" w14:textId="77777777" w:rsidR="00E53B6A" w:rsidRDefault="00E53B6A">
      <w:r>
        <w:separator/>
      </w:r>
    </w:p>
  </w:endnote>
  <w:endnote w:type="continuationSeparator" w:id="0">
    <w:p w14:paraId="073EBDAB" w14:textId="77777777" w:rsidR="00E53B6A" w:rsidRDefault="00E5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A8582" w14:textId="77777777" w:rsidR="006D51D9" w:rsidRDefault="006D51D9" w:rsidP="0037056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6AFFE" w14:textId="77777777" w:rsidR="006D51D9" w:rsidRDefault="006D51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7983" w14:textId="77777777" w:rsidR="006D51D9" w:rsidRDefault="006D51D9" w:rsidP="0037056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7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08566" w14:textId="77777777" w:rsidR="006D51D9" w:rsidRDefault="006D51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DCE03" w14:textId="77777777" w:rsidR="00E53B6A" w:rsidRDefault="00E53B6A">
      <w:r>
        <w:separator/>
      </w:r>
    </w:p>
  </w:footnote>
  <w:footnote w:type="continuationSeparator" w:id="0">
    <w:p w14:paraId="468763FD" w14:textId="77777777" w:rsidR="00E53B6A" w:rsidRDefault="00E53B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6EDB9" w14:textId="77777777" w:rsidR="006D51D9" w:rsidRDefault="006D51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AA7F2A" w14:textId="77777777" w:rsidR="006D51D9" w:rsidRDefault="006D51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8EF9B" w14:textId="7BFCAF1C" w:rsidR="006D51D9" w:rsidRPr="00391DFA" w:rsidRDefault="00D805BA" w:rsidP="00391DFA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0B4"/>
    <w:multiLevelType w:val="hybridMultilevel"/>
    <w:tmpl w:val="A2F6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85C"/>
    <w:multiLevelType w:val="hybridMultilevel"/>
    <w:tmpl w:val="DA384328"/>
    <w:lvl w:ilvl="0" w:tplc="1FDCC0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4DC4"/>
    <w:multiLevelType w:val="hybridMultilevel"/>
    <w:tmpl w:val="1612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C154D"/>
    <w:multiLevelType w:val="hybridMultilevel"/>
    <w:tmpl w:val="B61CC852"/>
    <w:lvl w:ilvl="0" w:tplc="B346116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C3E29"/>
    <w:multiLevelType w:val="hybridMultilevel"/>
    <w:tmpl w:val="D1646160"/>
    <w:lvl w:ilvl="0" w:tplc="B346116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F0FED"/>
    <w:multiLevelType w:val="hybridMultilevel"/>
    <w:tmpl w:val="19E4C13C"/>
    <w:lvl w:ilvl="0" w:tplc="64E2B2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1D8A"/>
    <w:multiLevelType w:val="hybridMultilevel"/>
    <w:tmpl w:val="F302235A"/>
    <w:lvl w:ilvl="0" w:tplc="B346116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60BBE"/>
    <w:multiLevelType w:val="hybridMultilevel"/>
    <w:tmpl w:val="60622722"/>
    <w:lvl w:ilvl="0" w:tplc="B346116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34362"/>
    <w:multiLevelType w:val="hybridMultilevel"/>
    <w:tmpl w:val="04C68F10"/>
    <w:lvl w:ilvl="0" w:tplc="9500998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0A18"/>
    <w:multiLevelType w:val="hybridMultilevel"/>
    <w:tmpl w:val="BB5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B4CB1"/>
    <w:multiLevelType w:val="hybridMultilevel"/>
    <w:tmpl w:val="D46E288E"/>
    <w:lvl w:ilvl="0" w:tplc="B346116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A4647"/>
    <w:multiLevelType w:val="hybridMultilevel"/>
    <w:tmpl w:val="9922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018"/>
    <w:multiLevelType w:val="hybridMultilevel"/>
    <w:tmpl w:val="4B4AAD66"/>
    <w:lvl w:ilvl="0" w:tplc="B346116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4093E"/>
    <w:multiLevelType w:val="hybridMultilevel"/>
    <w:tmpl w:val="A53C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661F7"/>
    <w:multiLevelType w:val="hybridMultilevel"/>
    <w:tmpl w:val="2F0C5342"/>
    <w:lvl w:ilvl="0" w:tplc="64E2B23C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633B8A"/>
    <w:multiLevelType w:val="hybridMultilevel"/>
    <w:tmpl w:val="A7CA68F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6">
    <w:nsid w:val="48604EE4"/>
    <w:multiLevelType w:val="hybridMultilevel"/>
    <w:tmpl w:val="878E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73314"/>
    <w:multiLevelType w:val="hybridMultilevel"/>
    <w:tmpl w:val="9EC690AC"/>
    <w:lvl w:ilvl="0" w:tplc="B346116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749F8"/>
    <w:multiLevelType w:val="hybridMultilevel"/>
    <w:tmpl w:val="C8D65762"/>
    <w:lvl w:ilvl="0" w:tplc="3740E78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26674"/>
    <w:multiLevelType w:val="hybridMultilevel"/>
    <w:tmpl w:val="98EC4566"/>
    <w:lvl w:ilvl="0" w:tplc="64E2B2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5D57"/>
    <w:multiLevelType w:val="hybridMultilevel"/>
    <w:tmpl w:val="282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63070"/>
    <w:multiLevelType w:val="hybridMultilevel"/>
    <w:tmpl w:val="E6CCB052"/>
    <w:lvl w:ilvl="0" w:tplc="B346116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491"/>
    <w:multiLevelType w:val="hybridMultilevel"/>
    <w:tmpl w:val="4ECEBC8E"/>
    <w:lvl w:ilvl="0" w:tplc="B34611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21DA1"/>
    <w:multiLevelType w:val="hybridMultilevel"/>
    <w:tmpl w:val="BC06E338"/>
    <w:lvl w:ilvl="0" w:tplc="B346116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64573"/>
    <w:multiLevelType w:val="hybridMultilevel"/>
    <w:tmpl w:val="C14ABA9C"/>
    <w:lvl w:ilvl="0" w:tplc="64E2B2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129D3"/>
    <w:multiLevelType w:val="hybridMultilevel"/>
    <w:tmpl w:val="72A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12C08"/>
    <w:multiLevelType w:val="hybridMultilevel"/>
    <w:tmpl w:val="BD96CD34"/>
    <w:lvl w:ilvl="0" w:tplc="95009984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A7EE7"/>
    <w:multiLevelType w:val="hybridMultilevel"/>
    <w:tmpl w:val="57946312"/>
    <w:lvl w:ilvl="0" w:tplc="B346116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"/>
  </w:num>
  <w:num w:numId="4">
    <w:abstractNumId w:val="2"/>
  </w:num>
  <w:num w:numId="5">
    <w:abstractNumId w:val="23"/>
  </w:num>
  <w:num w:numId="6">
    <w:abstractNumId w:val="20"/>
  </w:num>
  <w:num w:numId="7">
    <w:abstractNumId w:val="7"/>
  </w:num>
  <w:num w:numId="8">
    <w:abstractNumId w:val="21"/>
  </w:num>
  <w:num w:numId="9">
    <w:abstractNumId w:val="18"/>
  </w:num>
  <w:num w:numId="10">
    <w:abstractNumId w:val="12"/>
  </w:num>
  <w:num w:numId="11">
    <w:abstractNumId w:val="10"/>
  </w:num>
  <w:num w:numId="12">
    <w:abstractNumId w:val="27"/>
  </w:num>
  <w:num w:numId="13">
    <w:abstractNumId w:val="17"/>
  </w:num>
  <w:num w:numId="14">
    <w:abstractNumId w:val="3"/>
  </w:num>
  <w:num w:numId="15">
    <w:abstractNumId w:val="6"/>
  </w:num>
  <w:num w:numId="16">
    <w:abstractNumId w:val="4"/>
  </w:num>
  <w:num w:numId="17">
    <w:abstractNumId w:val="16"/>
  </w:num>
  <w:num w:numId="18">
    <w:abstractNumId w:val="11"/>
  </w:num>
  <w:num w:numId="19">
    <w:abstractNumId w:val="8"/>
  </w:num>
  <w:num w:numId="20">
    <w:abstractNumId w:val="26"/>
  </w:num>
  <w:num w:numId="21">
    <w:abstractNumId w:val="13"/>
  </w:num>
  <w:num w:numId="22">
    <w:abstractNumId w:val="5"/>
  </w:num>
  <w:num w:numId="23">
    <w:abstractNumId w:val="14"/>
  </w:num>
  <w:num w:numId="24">
    <w:abstractNumId w:val="19"/>
  </w:num>
  <w:num w:numId="25">
    <w:abstractNumId w:val="24"/>
  </w:num>
  <w:num w:numId="26">
    <w:abstractNumId w:val="9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B7"/>
    <w:rsid w:val="00010153"/>
    <w:rsid w:val="00010D9E"/>
    <w:rsid w:val="00012C40"/>
    <w:rsid w:val="00012F58"/>
    <w:rsid w:val="000147B6"/>
    <w:rsid w:val="00025793"/>
    <w:rsid w:val="0002603E"/>
    <w:rsid w:val="0002673D"/>
    <w:rsid w:val="000276FA"/>
    <w:rsid w:val="00031197"/>
    <w:rsid w:val="00032515"/>
    <w:rsid w:val="000334E3"/>
    <w:rsid w:val="000353E3"/>
    <w:rsid w:val="00035A5F"/>
    <w:rsid w:val="000424B1"/>
    <w:rsid w:val="00047C73"/>
    <w:rsid w:val="0005127B"/>
    <w:rsid w:val="000532B4"/>
    <w:rsid w:val="000538F1"/>
    <w:rsid w:val="000540B9"/>
    <w:rsid w:val="00056373"/>
    <w:rsid w:val="000563E1"/>
    <w:rsid w:val="00057D54"/>
    <w:rsid w:val="00060B48"/>
    <w:rsid w:val="00065E9E"/>
    <w:rsid w:val="00070872"/>
    <w:rsid w:val="0007234C"/>
    <w:rsid w:val="00074167"/>
    <w:rsid w:val="00074BF4"/>
    <w:rsid w:val="00074DF7"/>
    <w:rsid w:val="000760C3"/>
    <w:rsid w:val="00076349"/>
    <w:rsid w:val="00076571"/>
    <w:rsid w:val="00080A1B"/>
    <w:rsid w:val="0008212E"/>
    <w:rsid w:val="000829CE"/>
    <w:rsid w:val="00083A59"/>
    <w:rsid w:val="000919CD"/>
    <w:rsid w:val="00092270"/>
    <w:rsid w:val="0009384C"/>
    <w:rsid w:val="0009414B"/>
    <w:rsid w:val="000A0A50"/>
    <w:rsid w:val="000A0F75"/>
    <w:rsid w:val="000A1984"/>
    <w:rsid w:val="000A23D3"/>
    <w:rsid w:val="000A2BBE"/>
    <w:rsid w:val="000A3FE7"/>
    <w:rsid w:val="000A534D"/>
    <w:rsid w:val="000B2214"/>
    <w:rsid w:val="000B2E8F"/>
    <w:rsid w:val="000C4D08"/>
    <w:rsid w:val="000C624B"/>
    <w:rsid w:val="000C6755"/>
    <w:rsid w:val="000C6D60"/>
    <w:rsid w:val="000D3121"/>
    <w:rsid w:val="000D3626"/>
    <w:rsid w:val="000D440E"/>
    <w:rsid w:val="000D5546"/>
    <w:rsid w:val="000E27C7"/>
    <w:rsid w:val="000E2B21"/>
    <w:rsid w:val="000E3109"/>
    <w:rsid w:val="000F0B29"/>
    <w:rsid w:val="000F1C55"/>
    <w:rsid w:val="000F3006"/>
    <w:rsid w:val="000F6970"/>
    <w:rsid w:val="000F7354"/>
    <w:rsid w:val="001031A5"/>
    <w:rsid w:val="00106AE1"/>
    <w:rsid w:val="00111FF3"/>
    <w:rsid w:val="0011216B"/>
    <w:rsid w:val="001162BC"/>
    <w:rsid w:val="0012625D"/>
    <w:rsid w:val="00130295"/>
    <w:rsid w:val="001319E6"/>
    <w:rsid w:val="00132144"/>
    <w:rsid w:val="0013565B"/>
    <w:rsid w:val="00135BC2"/>
    <w:rsid w:val="00141A14"/>
    <w:rsid w:val="0014376E"/>
    <w:rsid w:val="00144F0E"/>
    <w:rsid w:val="00145444"/>
    <w:rsid w:val="00146BAE"/>
    <w:rsid w:val="00152ECE"/>
    <w:rsid w:val="001530A2"/>
    <w:rsid w:val="00164EB2"/>
    <w:rsid w:val="00165286"/>
    <w:rsid w:val="00170F9D"/>
    <w:rsid w:val="00172BFA"/>
    <w:rsid w:val="001741CA"/>
    <w:rsid w:val="00180366"/>
    <w:rsid w:val="001822FE"/>
    <w:rsid w:val="001869E4"/>
    <w:rsid w:val="00194E1B"/>
    <w:rsid w:val="00195614"/>
    <w:rsid w:val="00196870"/>
    <w:rsid w:val="0019710C"/>
    <w:rsid w:val="001A1523"/>
    <w:rsid w:val="001A225B"/>
    <w:rsid w:val="001A33C6"/>
    <w:rsid w:val="001A4FF7"/>
    <w:rsid w:val="001B1AE3"/>
    <w:rsid w:val="001B2839"/>
    <w:rsid w:val="001C1204"/>
    <w:rsid w:val="001C2BBD"/>
    <w:rsid w:val="001D0684"/>
    <w:rsid w:val="001D3C96"/>
    <w:rsid w:val="001D3EFA"/>
    <w:rsid w:val="001D4FA0"/>
    <w:rsid w:val="001D7F9D"/>
    <w:rsid w:val="001E064C"/>
    <w:rsid w:val="001E3280"/>
    <w:rsid w:val="001E524B"/>
    <w:rsid w:val="001E7BAC"/>
    <w:rsid w:val="001F09D3"/>
    <w:rsid w:val="001F0DAC"/>
    <w:rsid w:val="001F5615"/>
    <w:rsid w:val="001F6C4A"/>
    <w:rsid w:val="00202067"/>
    <w:rsid w:val="0020471B"/>
    <w:rsid w:val="00207D80"/>
    <w:rsid w:val="00211FF2"/>
    <w:rsid w:val="00217451"/>
    <w:rsid w:val="00220325"/>
    <w:rsid w:val="0022274F"/>
    <w:rsid w:val="0022533B"/>
    <w:rsid w:val="0022547E"/>
    <w:rsid w:val="00226219"/>
    <w:rsid w:val="00227B60"/>
    <w:rsid w:val="002311FE"/>
    <w:rsid w:val="00235660"/>
    <w:rsid w:val="00235893"/>
    <w:rsid w:val="002376DE"/>
    <w:rsid w:val="00241C37"/>
    <w:rsid w:val="00245BAD"/>
    <w:rsid w:val="00251DC6"/>
    <w:rsid w:val="00257293"/>
    <w:rsid w:val="00257C4C"/>
    <w:rsid w:val="0026119F"/>
    <w:rsid w:val="002623E6"/>
    <w:rsid w:val="00267C17"/>
    <w:rsid w:val="00272613"/>
    <w:rsid w:val="00272E2D"/>
    <w:rsid w:val="00275035"/>
    <w:rsid w:val="00276F7D"/>
    <w:rsid w:val="002770F7"/>
    <w:rsid w:val="00284B5D"/>
    <w:rsid w:val="00291D83"/>
    <w:rsid w:val="002944E5"/>
    <w:rsid w:val="002A1371"/>
    <w:rsid w:val="002A3D3E"/>
    <w:rsid w:val="002B2DA0"/>
    <w:rsid w:val="002B5F46"/>
    <w:rsid w:val="002B6001"/>
    <w:rsid w:val="002D15A3"/>
    <w:rsid w:val="002D3099"/>
    <w:rsid w:val="002D4BE4"/>
    <w:rsid w:val="002D5613"/>
    <w:rsid w:val="002D565F"/>
    <w:rsid w:val="002D570C"/>
    <w:rsid w:val="002E0988"/>
    <w:rsid w:val="002E1003"/>
    <w:rsid w:val="002E50FC"/>
    <w:rsid w:val="002E6C4A"/>
    <w:rsid w:val="002F091D"/>
    <w:rsid w:val="002F0B2F"/>
    <w:rsid w:val="002F1B33"/>
    <w:rsid w:val="002F334C"/>
    <w:rsid w:val="002F357C"/>
    <w:rsid w:val="002F3FC6"/>
    <w:rsid w:val="002F4BF3"/>
    <w:rsid w:val="002F5B88"/>
    <w:rsid w:val="002F78AE"/>
    <w:rsid w:val="002F7963"/>
    <w:rsid w:val="002F7BD6"/>
    <w:rsid w:val="00304047"/>
    <w:rsid w:val="00305097"/>
    <w:rsid w:val="00307A03"/>
    <w:rsid w:val="003115B7"/>
    <w:rsid w:val="0031296D"/>
    <w:rsid w:val="003129C1"/>
    <w:rsid w:val="003201A8"/>
    <w:rsid w:val="00330933"/>
    <w:rsid w:val="00331D3B"/>
    <w:rsid w:val="00332B74"/>
    <w:rsid w:val="00340876"/>
    <w:rsid w:val="003445E9"/>
    <w:rsid w:val="0035137B"/>
    <w:rsid w:val="003514A5"/>
    <w:rsid w:val="00352C3E"/>
    <w:rsid w:val="0035455A"/>
    <w:rsid w:val="00354BB0"/>
    <w:rsid w:val="00356982"/>
    <w:rsid w:val="003578B3"/>
    <w:rsid w:val="0036063C"/>
    <w:rsid w:val="003653E5"/>
    <w:rsid w:val="00370560"/>
    <w:rsid w:val="00372111"/>
    <w:rsid w:val="003725E5"/>
    <w:rsid w:val="00374311"/>
    <w:rsid w:val="00380DB1"/>
    <w:rsid w:val="00382892"/>
    <w:rsid w:val="00383C5B"/>
    <w:rsid w:val="00390358"/>
    <w:rsid w:val="00391DFA"/>
    <w:rsid w:val="00393EE0"/>
    <w:rsid w:val="003963DF"/>
    <w:rsid w:val="00397B6F"/>
    <w:rsid w:val="00397D41"/>
    <w:rsid w:val="003A2F25"/>
    <w:rsid w:val="003A5C01"/>
    <w:rsid w:val="003A6715"/>
    <w:rsid w:val="003B3A69"/>
    <w:rsid w:val="003C3D84"/>
    <w:rsid w:val="003D10A9"/>
    <w:rsid w:val="003D194C"/>
    <w:rsid w:val="003D1EEF"/>
    <w:rsid w:val="003D3114"/>
    <w:rsid w:val="003E0CA4"/>
    <w:rsid w:val="003E3B90"/>
    <w:rsid w:val="003E7CD9"/>
    <w:rsid w:val="0040222C"/>
    <w:rsid w:val="004159CA"/>
    <w:rsid w:val="00415BE0"/>
    <w:rsid w:val="00415EB2"/>
    <w:rsid w:val="004202AB"/>
    <w:rsid w:val="004232B8"/>
    <w:rsid w:val="0042590B"/>
    <w:rsid w:val="004351E3"/>
    <w:rsid w:val="0043610B"/>
    <w:rsid w:val="00441962"/>
    <w:rsid w:val="0044644F"/>
    <w:rsid w:val="00446613"/>
    <w:rsid w:val="00446F59"/>
    <w:rsid w:val="00463DD7"/>
    <w:rsid w:val="00466AFF"/>
    <w:rsid w:val="0047289A"/>
    <w:rsid w:val="004763F2"/>
    <w:rsid w:val="00476AAD"/>
    <w:rsid w:val="00477685"/>
    <w:rsid w:val="00480808"/>
    <w:rsid w:val="004819A9"/>
    <w:rsid w:val="004849E2"/>
    <w:rsid w:val="004854BE"/>
    <w:rsid w:val="00492FA3"/>
    <w:rsid w:val="004946F7"/>
    <w:rsid w:val="00497714"/>
    <w:rsid w:val="004A27B0"/>
    <w:rsid w:val="004A6818"/>
    <w:rsid w:val="004B1096"/>
    <w:rsid w:val="004B129E"/>
    <w:rsid w:val="004B2921"/>
    <w:rsid w:val="004B298E"/>
    <w:rsid w:val="004B2D1F"/>
    <w:rsid w:val="004B2D7D"/>
    <w:rsid w:val="004C00DC"/>
    <w:rsid w:val="004C0159"/>
    <w:rsid w:val="004C0E05"/>
    <w:rsid w:val="004C2E9F"/>
    <w:rsid w:val="004C6940"/>
    <w:rsid w:val="004D0EE6"/>
    <w:rsid w:val="004D1BC7"/>
    <w:rsid w:val="004D693C"/>
    <w:rsid w:val="004E0908"/>
    <w:rsid w:val="004E1AEF"/>
    <w:rsid w:val="004E6CF3"/>
    <w:rsid w:val="004F5116"/>
    <w:rsid w:val="004F7AF5"/>
    <w:rsid w:val="00500CDB"/>
    <w:rsid w:val="00503C16"/>
    <w:rsid w:val="00504498"/>
    <w:rsid w:val="00510BB1"/>
    <w:rsid w:val="005127D9"/>
    <w:rsid w:val="00526C78"/>
    <w:rsid w:val="00527861"/>
    <w:rsid w:val="005350D8"/>
    <w:rsid w:val="00536ED2"/>
    <w:rsid w:val="00541E46"/>
    <w:rsid w:val="005463F8"/>
    <w:rsid w:val="0055792C"/>
    <w:rsid w:val="00561E09"/>
    <w:rsid w:val="00563F6F"/>
    <w:rsid w:val="005646ED"/>
    <w:rsid w:val="0056480E"/>
    <w:rsid w:val="00575E67"/>
    <w:rsid w:val="00577215"/>
    <w:rsid w:val="005773DF"/>
    <w:rsid w:val="00582FC2"/>
    <w:rsid w:val="00590B6B"/>
    <w:rsid w:val="005949C0"/>
    <w:rsid w:val="005A23DF"/>
    <w:rsid w:val="005A428C"/>
    <w:rsid w:val="005A6F7C"/>
    <w:rsid w:val="005B2358"/>
    <w:rsid w:val="005B5B8B"/>
    <w:rsid w:val="005C1604"/>
    <w:rsid w:val="005C457E"/>
    <w:rsid w:val="005C52BA"/>
    <w:rsid w:val="005D54E5"/>
    <w:rsid w:val="005D5AE2"/>
    <w:rsid w:val="005E0069"/>
    <w:rsid w:val="005E0E3C"/>
    <w:rsid w:val="005F2B71"/>
    <w:rsid w:val="005F3E1C"/>
    <w:rsid w:val="005F3F64"/>
    <w:rsid w:val="006036DE"/>
    <w:rsid w:val="00606C82"/>
    <w:rsid w:val="00620598"/>
    <w:rsid w:val="00624D95"/>
    <w:rsid w:val="00625F54"/>
    <w:rsid w:val="0063095B"/>
    <w:rsid w:val="006350D0"/>
    <w:rsid w:val="00641BEC"/>
    <w:rsid w:val="00652135"/>
    <w:rsid w:val="00652BC4"/>
    <w:rsid w:val="00653EC3"/>
    <w:rsid w:val="00654286"/>
    <w:rsid w:val="0066765C"/>
    <w:rsid w:val="00672C52"/>
    <w:rsid w:val="006801F6"/>
    <w:rsid w:val="00680B69"/>
    <w:rsid w:val="00695BA2"/>
    <w:rsid w:val="006B1805"/>
    <w:rsid w:val="006B5C3F"/>
    <w:rsid w:val="006C5305"/>
    <w:rsid w:val="006D51D9"/>
    <w:rsid w:val="006D77D7"/>
    <w:rsid w:val="006E00B1"/>
    <w:rsid w:val="006E01F1"/>
    <w:rsid w:val="006E180C"/>
    <w:rsid w:val="006E1C84"/>
    <w:rsid w:val="006E1D6B"/>
    <w:rsid w:val="006E780F"/>
    <w:rsid w:val="006F0A60"/>
    <w:rsid w:val="006F3C05"/>
    <w:rsid w:val="006F4E86"/>
    <w:rsid w:val="006F5B4B"/>
    <w:rsid w:val="006F6A5F"/>
    <w:rsid w:val="006F7FF1"/>
    <w:rsid w:val="00700E88"/>
    <w:rsid w:val="00702E1F"/>
    <w:rsid w:val="00707089"/>
    <w:rsid w:val="00713B07"/>
    <w:rsid w:val="00716C2F"/>
    <w:rsid w:val="00717883"/>
    <w:rsid w:val="0072200B"/>
    <w:rsid w:val="00724F2D"/>
    <w:rsid w:val="00733002"/>
    <w:rsid w:val="007369EC"/>
    <w:rsid w:val="0073778B"/>
    <w:rsid w:val="00740FCB"/>
    <w:rsid w:val="00746568"/>
    <w:rsid w:val="00746D4F"/>
    <w:rsid w:val="007505ED"/>
    <w:rsid w:val="00750657"/>
    <w:rsid w:val="00753778"/>
    <w:rsid w:val="00754EB7"/>
    <w:rsid w:val="0075612E"/>
    <w:rsid w:val="00761569"/>
    <w:rsid w:val="00762FAD"/>
    <w:rsid w:val="00770D6F"/>
    <w:rsid w:val="00771B63"/>
    <w:rsid w:val="00772DB7"/>
    <w:rsid w:val="007833C2"/>
    <w:rsid w:val="00783AFC"/>
    <w:rsid w:val="00790342"/>
    <w:rsid w:val="00794C73"/>
    <w:rsid w:val="0079760C"/>
    <w:rsid w:val="00797B4F"/>
    <w:rsid w:val="007B099F"/>
    <w:rsid w:val="007B3BC6"/>
    <w:rsid w:val="007C1919"/>
    <w:rsid w:val="007C1D0E"/>
    <w:rsid w:val="007C2885"/>
    <w:rsid w:val="007C5058"/>
    <w:rsid w:val="007C538C"/>
    <w:rsid w:val="007C7EA7"/>
    <w:rsid w:val="007D2D70"/>
    <w:rsid w:val="007D32E8"/>
    <w:rsid w:val="007D3EAB"/>
    <w:rsid w:val="007D582A"/>
    <w:rsid w:val="007D5DEC"/>
    <w:rsid w:val="007D7D20"/>
    <w:rsid w:val="007E7BCA"/>
    <w:rsid w:val="007E7D0D"/>
    <w:rsid w:val="007F3FBF"/>
    <w:rsid w:val="007F7A4F"/>
    <w:rsid w:val="0080228D"/>
    <w:rsid w:val="008043A4"/>
    <w:rsid w:val="008126B0"/>
    <w:rsid w:val="0081734A"/>
    <w:rsid w:val="0082149C"/>
    <w:rsid w:val="00823D71"/>
    <w:rsid w:val="00823F25"/>
    <w:rsid w:val="00826CC7"/>
    <w:rsid w:val="00831350"/>
    <w:rsid w:val="00833AD2"/>
    <w:rsid w:val="00837E17"/>
    <w:rsid w:val="00842C7B"/>
    <w:rsid w:val="00845FD1"/>
    <w:rsid w:val="008479E6"/>
    <w:rsid w:val="0085122B"/>
    <w:rsid w:val="00853F6D"/>
    <w:rsid w:val="0085590B"/>
    <w:rsid w:val="00857B1D"/>
    <w:rsid w:val="00864367"/>
    <w:rsid w:val="008646A6"/>
    <w:rsid w:val="00865350"/>
    <w:rsid w:val="008670F4"/>
    <w:rsid w:val="0087707F"/>
    <w:rsid w:val="00882DC3"/>
    <w:rsid w:val="0089053D"/>
    <w:rsid w:val="0089267E"/>
    <w:rsid w:val="00892E35"/>
    <w:rsid w:val="008A193A"/>
    <w:rsid w:val="008A3913"/>
    <w:rsid w:val="008A7529"/>
    <w:rsid w:val="008B29F3"/>
    <w:rsid w:val="008B3C15"/>
    <w:rsid w:val="008B41DA"/>
    <w:rsid w:val="008B7192"/>
    <w:rsid w:val="008B7FF8"/>
    <w:rsid w:val="008C0462"/>
    <w:rsid w:val="008C189A"/>
    <w:rsid w:val="008C3DCB"/>
    <w:rsid w:val="008C5718"/>
    <w:rsid w:val="008D3879"/>
    <w:rsid w:val="008D5CC8"/>
    <w:rsid w:val="008D7844"/>
    <w:rsid w:val="008D7B17"/>
    <w:rsid w:val="008E0442"/>
    <w:rsid w:val="008E10DB"/>
    <w:rsid w:val="008E3FD3"/>
    <w:rsid w:val="008E503E"/>
    <w:rsid w:val="008E5616"/>
    <w:rsid w:val="008E5D44"/>
    <w:rsid w:val="008F1161"/>
    <w:rsid w:val="008F1456"/>
    <w:rsid w:val="008F294C"/>
    <w:rsid w:val="008F3676"/>
    <w:rsid w:val="008F514E"/>
    <w:rsid w:val="009006C9"/>
    <w:rsid w:val="00901034"/>
    <w:rsid w:val="009013A8"/>
    <w:rsid w:val="0090449B"/>
    <w:rsid w:val="00910534"/>
    <w:rsid w:val="00911617"/>
    <w:rsid w:val="00913174"/>
    <w:rsid w:val="009138C0"/>
    <w:rsid w:val="00914207"/>
    <w:rsid w:val="0091601D"/>
    <w:rsid w:val="009166DE"/>
    <w:rsid w:val="009167AA"/>
    <w:rsid w:val="009231AA"/>
    <w:rsid w:val="009306F6"/>
    <w:rsid w:val="0093171C"/>
    <w:rsid w:val="00933F6B"/>
    <w:rsid w:val="009342A7"/>
    <w:rsid w:val="00934538"/>
    <w:rsid w:val="0093507B"/>
    <w:rsid w:val="009428B0"/>
    <w:rsid w:val="0094318B"/>
    <w:rsid w:val="00952E7F"/>
    <w:rsid w:val="0095388B"/>
    <w:rsid w:val="00957124"/>
    <w:rsid w:val="00960592"/>
    <w:rsid w:val="00963437"/>
    <w:rsid w:val="00971C61"/>
    <w:rsid w:val="009773D0"/>
    <w:rsid w:val="00977AA1"/>
    <w:rsid w:val="0098266E"/>
    <w:rsid w:val="00984139"/>
    <w:rsid w:val="0099247F"/>
    <w:rsid w:val="00994856"/>
    <w:rsid w:val="00995E63"/>
    <w:rsid w:val="009A2A6E"/>
    <w:rsid w:val="009B0476"/>
    <w:rsid w:val="009B2878"/>
    <w:rsid w:val="009B5779"/>
    <w:rsid w:val="009B787C"/>
    <w:rsid w:val="009C049B"/>
    <w:rsid w:val="009C1080"/>
    <w:rsid w:val="009C19CF"/>
    <w:rsid w:val="009D0B41"/>
    <w:rsid w:val="009D0F11"/>
    <w:rsid w:val="009D1643"/>
    <w:rsid w:val="009D49FC"/>
    <w:rsid w:val="009E3243"/>
    <w:rsid w:val="009E36D2"/>
    <w:rsid w:val="009F28A8"/>
    <w:rsid w:val="009F3853"/>
    <w:rsid w:val="009F52F7"/>
    <w:rsid w:val="00A00900"/>
    <w:rsid w:val="00A022F3"/>
    <w:rsid w:val="00A02629"/>
    <w:rsid w:val="00A06536"/>
    <w:rsid w:val="00A11A7B"/>
    <w:rsid w:val="00A1438B"/>
    <w:rsid w:val="00A14EA8"/>
    <w:rsid w:val="00A17675"/>
    <w:rsid w:val="00A17746"/>
    <w:rsid w:val="00A213AF"/>
    <w:rsid w:val="00A24DDC"/>
    <w:rsid w:val="00A3007C"/>
    <w:rsid w:val="00A34446"/>
    <w:rsid w:val="00A36C17"/>
    <w:rsid w:val="00A36E4A"/>
    <w:rsid w:val="00A37618"/>
    <w:rsid w:val="00A45C89"/>
    <w:rsid w:val="00A46812"/>
    <w:rsid w:val="00A46D49"/>
    <w:rsid w:val="00A50016"/>
    <w:rsid w:val="00A51A12"/>
    <w:rsid w:val="00A52540"/>
    <w:rsid w:val="00A5651B"/>
    <w:rsid w:val="00A56B0B"/>
    <w:rsid w:val="00A56C69"/>
    <w:rsid w:val="00A57A40"/>
    <w:rsid w:val="00A61886"/>
    <w:rsid w:val="00A622BC"/>
    <w:rsid w:val="00A62304"/>
    <w:rsid w:val="00A63A6D"/>
    <w:rsid w:val="00A64DD8"/>
    <w:rsid w:val="00A66291"/>
    <w:rsid w:val="00A6672A"/>
    <w:rsid w:val="00A67018"/>
    <w:rsid w:val="00A73823"/>
    <w:rsid w:val="00A7515F"/>
    <w:rsid w:val="00A80F12"/>
    <w:rsid w:val="00A82D36"/>
    <w:rsid w:val="00A82D80"/>
    <w:rsid w:val="00A8450A"/>
    <w:rsid w:val="00A937FB"/>
    <w:rsid w:val="00A95ACC"/>
    <w:rsid w:val="00A97ECC"/>
    <w:rsid w:val="00AA1DA1"/>
    <w:rsid w:val="00AB0DA7"/>
    <w:rsid w:val="00AB387B"/>
    <w:rsid w:val="00AB4958"/>
    <w:rsid w:val="00AB55DE"/>
    <w:rsid w:val="00AB69B3"/>
    <w:rsid w:val="00AC581B"/>
    <w:rsid w:val="00AD003B"/>
    <w:rsid w:val="00AD4C4A"/>
    <w:rsid w:val="00AD67C4"/>
    <w:rsid w:val="00AE615E"/>
    <w:rsid w:val="00AE7614"/>
    <w:rsid w:val="00AE78CE"/>
    <w:rsid w:val="00AF5FEA"/>
    <w:rsid w:val="00B01A66"/>
    <w:rsid w:val="00B027DC"/>
    <w:rsid w:val="00B03C8C"/>
    <w:rsid w:val="00B0786F"/>
    <w:rsid w:val="00B07A83"/>
    <w:rsid w:val="00B12941"/>
    <w:rsid w:val="00B139F9"/>
    <w:rsid w:val="00B14438"/>
    <w:rsid w:val="00B15148"/>
    <w:rsid w:val="00B1540A"/>
    <w:rsid w:val="00B177B8"/>
    <w:rsid w:val="00B214FC"/>
    <w:rsid w:val="00B23459"/>
    <w:rsid w:val="00B26CC0"/>
    <w:rsid w:val="00B35AC6"/>
    <w:rsid w:val="00B3761F"/>
    <w:rsid w:val="00B410C9"/>
    <w:rsid w:val="00B417D8"/>
    <w:rsid w:val="00B41D23"/>
    <w:rsid w:val="00B42751"/>
    <w:rsid w:val="00B46748"/>
    <w:rsid w:val="00B55F4E"/>
    <w:rsid w:val="00B64199"/>
    <w:rsid w:val="00B66BD0"/>
    <w:rsid w:val="00B67BA8"/>
    <w:rsid w:val="00B717D3"/>
    <w:rsid w:val="00B7530D"/>
    <w:rsid w:val="00B7550F"/>
    <w:rsid w:val="00B75D36"/>
    <w:rsid w:val="00B76464"/>
    <w:rsid w:val="00B81AC1"/>
    <w:rsid w:val="00B822B5"/>
    <w:rsid w:val="00B871DF"/>
    <w:rsid w:val="00B87366"/>
    <w:rsid w:val="00B90F2B"/>
    <w:rsid w:val="00B96907"/>
    <w:rsid w:val="00BA0B29"/>
    <w:rsid w:val="00BA2EA7"/>
    <w:rsid w:val="00BA3069"/>
    <w:rsid w:val="00BB0A12"/>
    <w:rsid w:val="00BB0FDE"/>
    <w:rsid w:val="00BB4288"/>
    <w:rsid w:val="00BB44AF"/>
    <w:rsid w:val="00BB4EA5"/>
    <w:rsid w:val="00BC07C7"/>
    <w:rsid w:val="00BC1DF4"/>
    <w:rsid w:val="00BC53F2"/>
    <w:rsid w:val="00BC5E2E"/>
    <w:rsid w:val="00BC631D"/>
    <w:rsid w:val="00BC70AF"/>
    <w:rsid w:val="00BD203F"/>
    <w:rsid w:val="00BE0983"/>
    <w:rsid w:val="00BE133A"/>
    <w:rsid w:val="00BE1534"/>
    <w:rsid w:val="00BE4823"/>
    <w:rsid w:val="00BF295A"/>
    <w:rsid w:val="00BF5BC2"/>
    <w:rsid w:val="00BF60C9"/>
    <w:rsid w:val="00C01443"/>
    <w:rsid w:val="00C027AD"/>
    <w:rsid w:val="00C0470A"/>
    <w:rsid w:val="00C04DF8"/>
    <w:rsid w:val="00C0795C"/>
    <w:rsid w:val="00C07D22"/>
    <w:rsid w:val="00C11A3E"/>
    <w:rsid w:val="00C1267C"/>
    <w:rsid w:val="00C13F9E"/>
    <w:rsid w:val="00C14F7B"/>
    <w:rsid w:val="00C42DEA"/>
    <w:rsid w:val="00C44AE2"/>
    <w:rsid w:val="00C51312"/>
    <w:rsid w:val="00C52402"/>
    <w:rsid w:val="00C5450F"/>
    <w:rsid w:val="00C63549"/>
    <w:rsid w:val="00C65CDA"/>
    <w:rsid w:val="00C71FB0"/>
    <w:rsid w:val="00C77D38"/>
    <w:rsid w:val="00C857BF"/>
    <w:rsid w:val="00C90267"/>
    <w:rsid w:val="00CA21F1"/>
    <w:rsid w:val="00CA361E"/>
    <w:rsid w:val="00CA40FA"/>
    <w:rsid w:val="00CB378F"/>
    <w:rsid w:val="00CC0D5D"/>
    <w:rsid w:val="00CC334D"/>
    <w:rsid w:val="00CC5965"/>
    <w:rsid w:val="00CC6C8A"/>
    <w:rsid w:val="00CC7749"/>
    <w:rsid w:val="00CD1708"/>
    <w:rsid w:val="00CE1353"/>
    <w:rsid w:val="00CE23A6"/>
    <w:rsid w:val="00CE5D81"/>
    <w:rsid w:val="00CE6CBA"/>
    <w:rsid w:val="00CF01BD"/>
    <w:rsid w:val="00CF4B29"/>
    <w:rsid w:val="00D032CD"/>
    <w:rsid w:val="00D07A8E"/>
    <w:rsid w:val="00D10BD2"/>
    <w:rsid w:val="00D146CD"/>
    <w:rsid w:val="00D16103"/>
    <w:rsid w:val="00D17883"/>
    <w:rsid w:val="00D20B71"/>
    <w:rsid w:val="00D239EC"/>
    <w:rsid w:val="00D25BED"/>
    <w:rsid w:val="00D265AA"/>
    <w:rsid w:val="00D30253"/>
    <w:rsid w:val="00D3722A"/>
    <w:rsid w:val="00D40CF0"/>
    <w:rsid w:val="00D40FED"/>
    <w:rsid w:val="00D45125"/>
    <w:rsid w:val="00D50528"/>
    <w:rsid w:val="00D642A0"/>
    <w:rsid w:val="00D65DBA"/>
    <w:rsid w:val="00D66ED8"/>
    <w:rsid w:val="00D729C0"/>
    <w:rsid w:val="00D73165"/>
    <w:rsid w:val="00D76CAC"/>
    <w:rsid w:val="00D77011"/>
    <w:rsid w:val="00D805BA"/>
    <w:rsid w:val="00D85C75"/>
    <w:rsid w:val="00D907B4"/>
    <w:rsid w:val="00DA2520"/>
    <w:rsid w:val="00DA7541"/>
    <w:rsid w:val="00DB0FD8"/>
    <w:rsid w:val="00DB35E8"/>
    <w:rsid w:val="00DB5022"/>
    <w:rsid w:val="00DB67B1"/>
    <w:rsid w:val="00DC0C16"/>
    <w:rsid w:val="00DC1CE5"/>
    <w:rsid w:val="00DC2BEE"/>
    <w:rsid w:val="00DC3B7D"/>
    <w:rsid w:val="00DC55B8"/>
    <w:rsid w:val="00DC6C9B"/>
    <w:rsid w:val="00DD0DD6"/>
    <w:rsid w:val="00DD1AD7"/>
    <w:rsid w:val="00DD310B"/>
    <w:rsid w:val="00DD49E5"/>
    <w:rsid w:val="00DD50A5"/>
    <w:rsid w:val="00DD625A"/>
    <w:rsid w:val="00DD72F5"/>
    <w:rsid w:val="00DE03BC"/>
    <w:rsid w:val="00DE3884"/>
    <w:rsid w:val="00DE3D38"/>
    <w:rsid w:val="00DE631B"/>
    <w:rsid w:val="00DE78C8"/>
    <w:rsid w:val="00DF2E7F"/>
    <w:rsid w:val="00DF4BD3"/>
    <w:rsid w:val="00DF7312"/>
    <w:rsid w:val="00E002B5"/>
    <w:rsid w:val="00E01B3E"/>
    <w:rsid w:val="00E05453"/>
    <w:rsid w:val="00E0546B"/>
    <w:rsid w:val="00E0578A"/>
    <w:rsid w:val="00E07B0D"/>
    <w:rsid w:val="00E13DD1"/>
    <w:rsid w:val="00E14AD3"/>
    <w:rsid w:val="00E2495D"/>
    <w:rsid w:val="00E2616E"/>
    <w:rsid w:val="00E35503"/>
    <w:rsid w:val="00E360A5"/>
    <w:rsid w:val="00E3655A"/>
    <w:rsid w:val="00E52A74"/>
    <w:rsid w:val="00E52BEE"/>
    <w:rsid w:val="00E53B6A"/>
    <w:rsid w:val="00E55187"/>
    <w:rsid w:val="00E629BD"/>
    <w:rsid w:val="00E63C82"/>
    <w:rsid w:val="00E70157"/>
    <w:rsid w:val="00E74154"/>
    <w:rsid w:val="00E74EE6"/>
    <w:rsid w:val="00E81B0C"/>
    <w:rsid w:val="00E83DC2"/>
    <w:rsid w:val="00E8552A"/>
    <w:rsid w:val="00E87F8B"/>
    <w:rsid w:val="00E94BDF"/>
    <w:rsid w:val="00E975E8"/>
    <w:rsid w:val="00EA2E6E"/>
    <w:rsid w:val="00EA4D32"/>
    <w:rsid w:val="00EA50D4"/>
    <w:rsid w:val="00EB178B"/>
    <w:rsid w:val="00EB44FD"/>
    <w:rsid w:val="00EB7F51"/>
    <w:rsid w:val="00EC0603"/>
    <w:rsid w:val="00EC5012"/>
    <w:rsid w:val="00ED05DB"/>
    <w:rsid w:val="00ED48F1"/>
    <w:rsid w:val="00EE544A"/>
    <w:rsid w:val="00EF13A2"/>
    <w:rsid w:val="00EF6760"/>
    <w:rsid w:val="00F01469"/>
    <w:rsid w:val="00F019DD"/>
    <w:rsid w:val="00F10406"/>
    <w:rsid w:val="00F110C5"/>
    <w:rsid w:val="00F11341"/>
    <w:rsid w:val="00F121BE"/>
    <w:rsid w:val="00F20BE5"/>
    <w:rsid w:val="00F2615A"/>
    <w:rsid w:val="00F33C2F"/>
    <w:rsid w:val="00F408B1"/>
    <w:rsid w:val="00F558D2"/>
    <w:rsid w:val="00F57549"/>
    <w:rsid w:val="00F62328"/>
    <w:rsid w:val="00F6689D"/>
    <w:rsid w:val="00F66A90"/>
    <w:rsid w:val="00F67D46"/>
    <w:rsid w:val="00F72AF7"/>
    <w:rsid w:val="00F74433"/>
    <w:rsid w:val="00F74D20"/>
    <w:rsid w:val="00F77AE8"/>
    <w:rsid w:val="00F83A76"/>
    <w:rsid w:val="00F851BB"/>
    <w:rsid w:val="00F86FFF"/>
    <w:rsid w:val="00F901AE"/>
    <w:rsid w:val="00F9157A"/>
    <w:rsid w:val="00F94215"/>
    <w:rsid w:val="00FA07D2"/>
    <w:rsid w:val="00FB08F7"/>
    <w:rsid w:val="00FB262A"/>
    <w:rsid w:val="00FB3660"/>
    <w:rsid w:val="00FB741F"/>
    <w:rsid w:val="00FC2EA1"/>
    <w:rsid w:val="00FC31B9"/>
    <w:rsid w:val="00FD4EAE"/>
    <w:rsid w:val="00FD54BB"/>
    <w:rsid w:val="00FE04F9"/>
    <w:rsid w:val="00FE1F84"/>
    <w:rsid w:val="00FE26FD"/>
    <w:rsid w:val="00FE37A4"/>
    <w:rsid w:val="00FE611E"/>
    <w:rsid w:val="00FF0E3A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6B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1A3E"/>
    <w:rPr>
      <w:sz w:val="24"/>
      <w:lang w:eastAsia="en-US"/>
    </w:rPr>
  </w:style>
  <w:style w:type="paragraph" w:styleId="Heading1">
    <w:name w:val="heading 1"/>
    <w:basedOn w:val="Standard"/>
    <w:next w:val="Normal"/>
    <w:qFormat/>
    <w:rsid w:val="004946F7"/>
    <w:pPr>
      <w:outlineLvl w:val="0"/>
    </w:pPr>
    <w:rPr>
      <w:b/>
      <w:sz w:val="22"/>
      <w:szCs w:val="22"/>
    </w:rPr>
  </w:style>
  <w:style w:type="paragraph" w:styleId="Heading2">
    <w:name w:val="heading 2"/>
    <w:basedOn w:val="Standard"/>
    <w:next w:val="Normal"/>
    <w:qFormat/>
    <w:rsid w:val="006D51D9"/>
    <w:pPr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C11A3E"/>
  </w:style>
  <w:style w:type="paragraph" w:customStyle="1" w:styleId="FirstLineFlush">
    <w:name w:val="First Line Flush"/>
    <w:basedOn w:val="Standard"/>
    <w:rsid w:val="00C11A3E"/>
  </w:style>
  <w:style w:type="paragraph" w:styleId="EndnoteText">
    <w:name w:val="endnote text"/>
    <w:basedOn w:val="Normal"/>
    <w:semiHidden/>
    <w:rsid w:val="00C11A3E"/>
    <w:pPr>
      <w:spacing w:line="480" w:lineRule="auto"/>
      <w:ind w:firstLine="576"/>
    </w:pPr>
    <w:rPr>
      <w:sz w:val="26"/>
      <w:lang w:val="en-US"/>
    </w:rPr>
  </w:style>
  <w:style w:type="character" w:styleId="EndnoteReference">
    <w:name w:val="endnote reference"/>
    <w:basedOn w:val="DefaultParagraphFont"/>
    <w:semiHidden/>
    <w:rsid w:val="00C11A3E"/>
    <w:rPr>
      <w:vertAlign w:val="superscript"/>
    </w:rPr>
  </w:style>
  <w:style w:type="paragraph" w:styleId="NormalIndent">
    <w:name w:val="Normal Indent"/>
    <w:basedOn w:val="Normal"/>
    <w:rsid w:val="00C11A3E"/>
    <w:pPr>
      <w:ind w:left="720"/>
    </w:pPr>
    <w:rPr>
      <w:sz w:val="26"/>
      <w:lang w:val="en-US"/>
    </w:rPr>
  </w:style>
  <w:style w:type="paragraph" w:customStyle="1" w:styleId="standardpara">
    <w:name w:val="standard para."/>
    <w:rsid w:val="00C11A3E"/>
    <w:pPr>
      <w:spacing w:line="480" w:lineRule="exact"/>
      <w:ind w:firstLine="720"/>
    </w:pPr>
    <w:rPr>
      <w:sz w:val="26"/>
      <w:lang w:val="en-US" w:eastAsia="en-US"/>
    </w:rPr>
  </w:style>
  <w:style w:type="paragraph" w:styleId="Header">
    <w:name w:val="header"/>
    <w:basedOn w:val="Normal"/>
    <w:rsid w:val="00C11A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1A3E"/>
  </w:style>
  <w:style w:type="paragraph" w:customStyle="1" w:styleId="flushleftpara">
    <w:name w:val="flush left para."/>
    <w:rsid w:val="00C11A3E"/>
    <w:pPr>
      <w:spacing w:line="480" w:lineRule="exact"/>
    </w:pPr>
    <w:rPr>
      <w:sz w:val="26"/>
      <w:lang w:val="en-US" w:eastAsia="en-US"/>
    </w:rPr>
  </w:style>
  <w:style w:type="paragraph" w:styleId="Title">
    <w:name w:val="Title"/>
    <w:basedOn w:val="Normal"/>
    <w:qFormat/>
    <w:rsid w:val="00C11A3E"/>
    <w:pPr>
      <w:jc w:val="center"/>
    </w:pPr>
    <w:rPr>
      <w:rFonts w:ascii="Arial" w:hAnsi="Arial"/>
      <w:b/>
      <w:i/>
      <w:sz w:val="20"/>
      <w:lang w:val="en-US"/>
    </w:rPr>
  </w:style>
  <w:style w:type="character" w:customStyle="1" w:styleId="documentbody1">
    <w:name w:val="documentbody1"/>
    <w:basedOn w:val="DefaultParagraphFont"/>
    <w:rsid w:val="005350D8"/>
    <w:rPr>
      <w:rFonts w:ascii="Verdana" w:hAnsi="Verdana" w:hint="default"/>
      <w:sz w:val="19"/>
      <w:szCs w:val="19"/>
      <w:shd w:val="clear" w:color="auto" w:fill="FFFFFF"/>
    </w:rPr>
  </w:style>
  <w:style w:type="character" w:styleId="CommentReference">
    <w:name w:val="annotation reference"/>
    <w:basedOn w:val="DefaultParagraphFont"/>
    <w:semiHidden/>
    <w:rsid w:val="00F2615A"/>
    <w:rPr>
      <w:sz w:val="16"/>
      <w:szCs w:val="16"/>
    </w:rPr>
  </w:style>
  <w:style w:type="paragraph" w:styleId="CommentText">
    <w:name w:val="annotation text"/>
    <w:basedOn w:val="Normal"/>
    <w:semiHidden/>
    <w:rsid w:val="00F2615A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615A"/>
    <w:rPr>
      <w:b/>
      <w:bCs/>
    </w:rPr>
  </w:style>
  <w:style w:type="paragraph" w:styleId="BalloonText">
    <w:name w:val="Balloon Text"/>
    <w:basedOn w:val="Normal"/>
    <w:semiHidden/>
    <w:rsid w:val="00F26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23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3E5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214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391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FA"/>
    <w:rPr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35A5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A5F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35A5F"/>
    <w:rPr>
      <w:vertAlign w:val="superscript"/>
    </w:rPr>
  </w:style>
  <w:style w:type="character" w:styleId="Emphasis">
    <w:name w:val="Emphasis"/>
    <w:uiPriority w:val="20"/>
    <w:qFormat/>
    <w:rsid w:val="00E36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ambridge.org/core/journals/cambridge-law-journal/article/finding-the-british-google-relaxing-the-prohibition-of-dualclass-stock-from-the-premiumtier-of-the-london-stock-exchange/3D2E2F2CCFBF653D3151F7B2AC6E681F" TargetMode="External"/><Relationship Id="rId9" Type="http://schemas.openxmlformats.org/officeDocument/2006/relationships/hyperlink" Target="https://papers.ssrn.com/sol3/papers.cfm?abstract_id=355442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DD8407-EEBE-E244-B0FE-2F13D4FF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826</Words>
  <Characters>4791</Characters>
  <Application>Microsoft Macintosh Word</Application>
  <DocSecurity>0</DocSecurity>
  <Lines>87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Manager/>
  <Company/>
  <LinksUpToDate>false</LinksUpToDate>
  <CharactersWithSpaces>5600</CharactersWithSpaces>
  <SharedDoc>false</SharedDoc>
  <HyperlinkBase/>
  <HLinks>
    <vt:vector size="60" baseType="variant">
      <vt:variant>
        <vt:i4>4390937</vt:i4>
      </vt:variant>
      <vt:variant>
        <vt:i4>27</vt:i4>
      </vt:variant>
      <vt:variant>
        <vt:i4>0</vt:i4>
      </vt:variant>
      <vt:variant>
        <vt:i4>5</vt:i4>
      </vt:variant>
      <vt:variant>
        <vt:lpwstr>http://ssrn.com/abstract=1420394</vt:lpwstr>
      </vt:variant>
      <vt:variant>
        <vt:lpwstr/>
      </vt:variant>
      <vt:variant>
        <vt:i4>1245223</vt:i4>
      </vt:variant>
      <vt:variant>
        <vt:i4>24</vt:i4>
      </vt:variant>
      <vt:variant>
        <vt:i4>0</vt:i4>
      </vt:variant>
      <vt:variant>
        <vt:i4>5</vt:i4>
      </vt:variant>
      <vt:variant>
        <vt:lpwstr>http://www.grant-thornton.co.uk/pdf/Corporate_Governance_Review_2011.pdf</vt:lpwstr>
      </vt:variant>
      <vt:variant>
        <vt:lpwstr/>
      </vt:variant>
      <vt:variant>
        <vt:i4>1376286</vt:i4>
      </vt:variant>
      <vt:variant>
        <vt:i4>21</vt:i4>
      </vt:variant>
      <vt:variant>
        <vt:i4>0</vt:i4>
      </vt:variant>
      <vt:variant>
        <vt:i4>5</vt:i4>
      </vt:variant>
      <vt:variant>
        <vt:lpwstr>http://www.bis.gov.uk/Consultations/a-long-term-focus-for-corporate-britain?cat=open</vt:lpwstr>
      </vt:variant>
      <vt:variant>
        <vt:lpwstr/>
      </vt:variant>
      <vt:variant>
        <vt:i4>2293871</vt:i4>
      </vt:variant>
      <vt:variant>
        <vt:i4>18</vt:i4>
      </vt:variant>
      <vt:variant>
        <vt:i4>0</vt:i4>
      </vt:variant>
      <vt:variant>
        <vt:i4>5</vt:i4>
      </vt:variant>
      <vt:variant>
        <vt:lpwstr>http://highpaycommission.co.uk/wp-content/uploads/2011/09/HPC-DPperformance.pdf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http://www.bis.gov.uk/news/speeches/vince-cable-executive-pay-remuneration-2012</vt:lpwstr>
      </vt:variant>
      <vt:variant>
        <vt:lpwstr/>
      </vt:variant>
      <vt:variant>
        <vt:i4>3342364</vt:i4>
      </vt:variant>
      <vt:variant>
        <vt:i4>12</vt:i4>
      </vt:variant>
      <vt:variant>
        <vt:i4>0</vt:i4>
      </vt:variant>
      <vt:variant>
        <vt:i4>5</vt:i4>
      </vt:variant>
      <vt:variant>
        <vt:lpwstr>http://highpaycommission.co.uk/wp-content/uploads/2011/11/HPC_final_report_WEB.pdf</vt:lpwstr>
      </vt:variant>
      <vt:variant>
        <vt:lpwstr/>
      </vt:variant>
      <vt:variant>
        <vt:i4>5701703</vt:i4>
      </vt:variant>
      <vt:variant>
        <vt:i4>9</vt:i4>
      </vt:variant>
      <vt:variant>
        <vt:i4>0</vt:i4>
      </vt:variant>
      <vt:variant>
        <vt:i4>5</vt:i4>
      </vt:variant>
      <vt:variant>
        <vt:lpwstr>http://www.hm-treasury.gov.uk/d/hutton_fairpay_review.pdf</vt:lpwstr>
      </vt:variant>
      <vt:variant>
        <vt:lpwstr/>
      </vt:variant>
      <vt:variant>
        <vt:i4>4325458</vt:i4>
      </vt:variant>
      <vt:variant>
        <vt:i4>6</vt:i4>
      </vt:variant>
      <vt:variant>
        <vt:i4>0</vt:i4>
      </vt:variant>
      <vt:variant>
        <vt:i4>5</vt:i4>
      </vt:variant>
      <vt:variant>
        <vt:lpwstr>http://www.hm-treasury.gov.uk/d/hutton_interim_report.pdf</vt:lpwstr>
      </vt:variant>
      <vt:variant>
        <vt:lpwstr/>
      </vt:variant>
      <vt:variant>
        <vt:i4>5636163</vt:i4>
      </vt:variant>
      <vt:variant>
        <vt:i4>3</vt:i4>
      </vt:variant>
      <vt:variant>
        <vt:i4>0</vt:i4>
      </vt:variant>
      <vt:variant>
        <vt:i4>5</vt:i4>
      </vt:variant>
      <vt:variant>
        <vt:lpwstr>http://bis.gov.uk/assets/biscore/business-law/docs/e/11-1287-executive-remuneration-discussion-paper.pdf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http://www.hm-treasury.gov.uk/d/walker_review_261109.pdf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Bobby Reddy</cp:lastModifiedBy>
  <cp:revision>5</cp:revision>
  <cp:lastPrinted>2016-01-20T11:42:00Z</cp:lastPrinted>
  <dcterms:created xsi:type="dcterms:W3CDTF">2020-08-12T15:48:00Z</dcterms:created>
  <dcterms:modified xsi:type="dcterms:W3CDTF">2020-08-12T17:08:00Z</dcterms:modified>
  <cp:category/>
</cp:coreProperties>
</file>